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655"/>
      </w:tblGrid>
      <w:tr w:rsidR="00B0495D" w:rsidRPr="006207A2" w:rsidTr="00404EC1">
        <w:trPr>
          <w:trHeight w:val="1125"/>
        </w:trPr>
        <w:tc>
          <w:tcPr>
            <w:tcW w:w="817" w:type="dxa"/>
            <w:vAlign w:val="center"/>
          </w:tcPr>
          <w:p w:rsidR="00B0495D" w:rsidRPr="006207A2" w:rsidRDefault="00B0495D" w:rsidP="00DF62F4">
            <w:pPr>
              <w:spacing w:line="280" w:lineRule="exact"/>
              <w:jc w:val="center"/>
              <w:rPr>
                <w:szCs w:val="21"/>
              </w:rPr>
            </w:pPr>
            <w:r w:rsidRPr="006207A2">
              <w:rPr>
                <w:szCs w:val="21"/>
              </w:rPr>
              <w:t>项目名称</w:t>
            </w:r>
          </w:p>
        </w:tc>
        <w:tc>
          <w:tcPr>
            <w:tcW w:w="7655" w:type="dxa"/>
            <w:vAlign w:val="center"/>
          </w:tcPr>
          <w:p w:rsidR="00B0495D" w:rsidRPr="006207A2" w:rsidRDefault="0088300D" w:rsidP="00DF62F4">
            <w:pPr>
              <w:spacing w:line="280" w:lineRule="exact"/>
              <w:rPr>
                <w:szCs w:val="21"/>
              </w:rPr>
            </w:pPr>
            <w:r>
              <w:rPr>
                <w:rFonts w:eastAsia="仿宋_GB2312" w:hint="eastAsia"/>
                <w:szCs w:val="21"/>
              </w:rPr>
              <w:t>有效学习的认知神经机制</w:t>
            </w:r>
          </w:p>
        </w:tc>
      </w:tr>
      <w:tr w:rsidR="00B0495D" w:rsidRPr="006207A2" w:rsidTr="00404EC1">
        <w:trPr>
          <w:trHeight w:val="1127"/>
        </w:trPr>
        <w:tc>
          <w:tcPr>
            <w:tcW w:w="817" w:type="dxa"/>
            <w:vAlign w:val="center"/>
          </w:tcPr>
          <w:p w:rsidR="00B0495D" w:rsidRPr="006207A2" w:rsidRDefault="002F10A4" w:rsidP="00DF62F4">
            <w:pPr>
              <w:spacing w:line="280" w:lineRule="exact"/>
              <w:jc w:val="center"/>
              <w:rPr>
                <w:szCs w:val="21"/>
              </w:rPr>
            </w:pPr>
            <w:r w:rsidRPr="006207A2">
              <w:rPr>
                <w:szCs w:val="21"/>
              </w:rPr>
              <w:t>推荐单位</w:t>
            </w:r>
          </w:p>
        </w:tc>
        <w:tc>
          <w:tcPr>
            <w:tcW w:w="7655" w:type="dxa"/>
            <w:vAlign w:val="center"/>
          </w:tcPr>
          <w:p w:rsidR="00B0495D" w:rsidRPr="006207A2" w:rsidRDefault="0088300D" w:rsidP="002F10A4">
            <w:pPr>
              <w:autoSpaceDE w:val="0"/>
              <w:autoSpaceDN w:val="0"/>
              <w:adjustRightInd w:val="0"/>
              <w:jc w:val="left"/>
              <w:rPr>
                <w:kern w:val="0"/>
                <w:sz w:val="28"/>
                <w:szCs w:val="28"/>
              </w:rPr>
            </w:pPr>
            <w:r>
              <w:rPr>
                <w:rFonts w:eastAsia="仿宋_GB2312" w:hint="eastAsia"/>
                <w:szCs w:val="21"/>
              </w:rPr>
              <w:t>北京师范大学</w:t>
            </w:r>
          </w:p>
        </w:tc>
      </w:tr>
      <w:tr w:rsidR="00B0495D" w:rsidRPr="006207A2" w:rsidTr="00404EC1">
        <w:trPr>
          <w:trHeight w:val="11178"/>
        </w:trPr>
        <w:tc>
          <w:tcPr>
            <w:tcW w:w="817" w:type="dxa"/>
            <w:vAlign w:val="center"/>
          </w:tcPr>
          <w:p w:rsidR="00B0495D" w:rsidRPr="006207A2" w:rsidRDefault="00B0495D" w:rsidP="00DF62F4">
            <w:pPr>
              <w:spacing w:line="280" w:lineRule="exact"/>
              <w:jc w:val="center"/>
              <w:rPr>
                <w:szCs w:val="21"/>
              </w:rPr>
            </w:pPr>
            <w:r w:rsidRPr="006207A2">
              <w:rPr>
                <w:szCs w:val="21"/>
              </w:rPr>
              <w:t>项目简介</w:t>
            </w:r>
          </w:p>
        </w:tc>
        <w:tc>
          <w:tcPr>
            <w:tcW w:w="7655" w:type="dxa"/>
            <w:vAlign w:val="center"/>
          </w:tcPr>
          <w:p w:rsidR="003B5335" w:rsidRPr="00384F17" w:rsidRDefault="003B5335" w:rsidP="00F56B41">
            <w:pPr>
              <w:autoSpaceDE w:val="0"/>
              <w:autoSpaceDN w:val="0"/>
              <w:adjustRightInd w:val="0"/>
              <w:ind w:firstLineChars="200" w:firstLine="420"/>
            </w:pPr>
            <w:r w:rsidRPr="00384F17">
              <w:rPr>
                <w:rFonts w:hint="eastAsia"/>
              </w:rPr>
              <w:t>大脑具有各种各样的学习能力，使得个体能够不断获取新的知识和技能，这一能力关系到个体的生存和发展。什么样的学习方式最有效？有效学习对应什么样的大脑活动规律和加工机制？不同类型的学习是否共享底层的规律和机制？如何才能使学习产生举一反三的效果？阐明这些认知神经科学得前沿问题不仅有助于我们深入理解大脑这一高度智能化的复杂系统，而且对于提高人的学习能力至关重要。本项目正是以此为切入点，通过团队成员之间的互补合作，结合人的心理物理测量、功能磁共振成像、脑电事件相关电位、经颅磁刺激以及清醒猴电生理记录等多种研究手段，从有效学习的神经激活模式、高级和低级脑区在学习中的协同作用、学习的特异性和迁移性机理等方面，深入系统地揭示了有效学习的规律和机制，取得了重要进展。我们发现，无论是简单的感知觉学习（非陈述性学习中的一类）还是高级的认知学习（例如情景记忆和语义记忆等陈述性学习），有效学习都依赖于由多脑区协同相互作用所产生的特定神经活动模式。在全脑层面，通过描记与输入信息编码和存储相关的脑区活动，我们发现神经活动模式在多次重复学习记忆中的一致性程度高低与学习效果的好坏直接相关。这种神经激活模式的一致性同时表现在时间和空间上，并且受到额顶高级脑区的调控。干预前额叶的活动可以提高相关脑区活动的一致性并提高记忆的效果。在神经元层面，我们发现在对输入信息进行编码的过程中，反复训练可以改变神经元集群的时空反应模式，导致任务相关的信号逐渐增强、无关的信号被去除。这种神经元集群反应模式的优化程度与学习效果密切相关，并且低级皮层激活模式的优化依赖于高级皮层的反馈调控。通过创新性的心理物理实验范式，我们发现简单的视觉学习与高级的认知概念学习具有共享的规律和机制，而且通过特定的训练范式来促进自上而下的认知调控信号与自下而上的输入信号之间的相互作用，可以使知觉学习的效果迁移到没有训练过的条件。这些从不同角度和层面开展的系列研究工作取得了高度一致的结果，表明不同类型的有效学习都是通过促进相关脑区之间的交互作用来优化神经激活模式，从而优化大脑对任务相关信息的抽提、编码、存储和读取等过程，而且通过行为或神经活动的干预可以促进有利于学习产生和迁移的神经活动模式。</w:t>
            </w:r>
          </w:p>
          <w:p w:rsidR="00726783" w:rsidRPr="006207A2" w:rsidRDefault="003B5335" w:rsidP="00F56B41">
            <w:pPr>
              <w:ind w:firstLineChars="200" w:firstLine="420"/>
              <w:rPr>
                <w:sz w:val="24"/>
              </w:rPr>
            </w:pPr>
            <w:r w:rsidRPr="00384F17">
              <w:rPr>
                <w:rFonts w:hint="eastAsia"/>
              </w:rPr>
              <w:t>本项目的</w:t>
            </w:r>
            <w:r w:rsidRPr="00384F17">
              <w:rPr>
                <w:rFonts w:hint="eastAsia"/>
              </w:rPr>
              <w:t>8</w:t>
            </w:r>
            <w:r w:rsidRPr="00384F17">
              <w:rPr>
                <w:rFonts w:hint="eastAsia"/>
              </w:rPr>
              <w:t>篇代表性论文发表在</w:t>
            </w:r>
            <w:r w:rsidRPr="00384F17">
              <w:rPr>
                <w:rFonts w:hint="eastAsia"/>
              </w:rPr>
              <w:t>Nature Neuroscience</w:t>
            </w:r>
            <w:r w:rsidRPr="00384F17">
              <w:rPr>
                <w:rFonts w:hint="eastAsia"/>
              </w:rPr>
              <w:t>、</w:t>
            </w:r>
            <w:r w:rsidRPr="00384F17">
              <w:rPr>
                <w:rFonts w:hint="eastAsia"/>
              </w:rPr>
              <w:t>Neuron</w:t>
            </w:r>
            <w:r w:rsidRPr="00384F17">
              <w:rPr>
                <w:rFonts w:hint="eastAsia"/>
              </w:rPr>
              <w:t>、</w:t>
            </w:r>
            <w:r w:rsidRPr="00384F17">
              <w:rPr>
                <w:rFonts w:hint="eastAsia"/>
              </w:rPr>
              <w:t>Current Biology</w:t>
            </w:r>
            <w:r w:rsidRPr="00384F17">
              <w:rPr>
                <w:rFonts w:hint="eastAsia"/>
              </w:rPr>
              <w:t>、</w:t>
            </w:r>
            <w:r w:rsidRPr="00384F17">
              <w:rPr>
                <w:rFonts w:hint="eastAsia"/>
              </w:rPr>
              <w:t>eLife</w:t>
            </w:r>
            <w:r w:rsidRPr="00384F17">
              <w:rPr>
                <w:rFonts w:hint="eastAsia"/>
              </w:rPr>
              <w:t>、</w:t>
            </w:r>
            <w:r w:rsidRPr="00384F17">
              <w:rPr>
                <w:rFonts w:hint="eastAsia"/>
              </w:rPr>
              <w:t>Cerebral Cortex</w:t>
            </w:r>
            <w:r w:rsidRPr="00384F17">
              <w:rPr>
                <w:rFonts w:hint="eastAsia"/>
              </w:rPr>
              <w:t>、</w:t>
            </w:r>
            <w:r w:rsidRPr="00384F17">
              <w:rPr>
                <w:rFonts w:hint="eastAsia"/>
              </w:rPr>
              <w:t>Journal of Neuroscience</w:t>
            </w:r>
            <w:r w:rsidRPr="00384F17">
              <w:rPr>
                <w:rFonts w:hint="eastAsia"/>
              </w:rPr>
              <w:t>、</w:t>
            </w:r>
            <w:r w:rsidRPr="00384F17">
              <w:rPr>
                <w:rFonts w:hint="eastAsia"/>
              </w:rPr>
              <w:t>NeuroImage</w:t>
            </w:r>
            <w:r>
              <w:rPr>
                <w:rFonts w:hint="eastAsia"/>
              </w:rPr>
              <w:t>等期刊上，其中一些成果得到了国际同行</w:t>
            </w:r>
            <w:r w:rsidRPr="00384F17">
              <w:rPr>
                <w:rFonts w:hint="eastAsia"/>
              </w:rPr>
              <w:t>的专文评价，项目完成人还受</w:t>
            </w:r>
            <w:r w:rsidRPr="00384F17">
              <w:rPr>
                <w:rFonts w:hint="eastAsia"/>
              </w:rPr>
              <w:t>Annual Review of Vision Science</w:t>
            </w:r>
            <w:r w:rsidRPr="00384F17">
              <w:rPr>
                <w:rFonts w:hint="eastAsia"/>
              </w:rPr>
              <w:t>和</w:t>
            </w:r>
            <w:r w:rsidRPr="00384F17">
              <w:rPr>
                <w:rFonts w:hint="eastAsia"/>
              </w:rPr>
              <w:t>Trends in Cognitive Sciences</w:t>
            </w:r>
            <w:r w:rsidRPr="00384F17">
              <w:rPr>
                <w:rFonts w:hint="eastAsia"/>
              </w:rPr>
              <w:t>等综述期刊的邀请，就这些重要发现撰写了综述。</w:t>
            </w:r>
          </w:p>
        </w:tc>
      </w:tr>
      <w:tr w:rsidR="00604903" w:rsidRPr="00434E0F" w:rsidTr="00D431C4">
        <w:trPr>
          <w:trHeight w:hRule="exact" w:val="14044"/>
        </w:trPr>
        <w:tc>
          <w:tcPr>
            <w:tcW w:w="817" w:type="dxa"/>
            <w:vAlign w:val="center"/>
          </w:tcPr>
          <w:p w:rsidR="00604903" w:rsidRPr="00AE16CD" w:rsidRDefault="00604903" w:rsidP="00604903">
            <w:pPr>
              <w:spacing w:line="300" w:lineRule="exact"/>
              <w:jc w:val="center"/>
              <w:rPr>
                <w:szCs w:val="21"/>
              </w:rPr>
            </w:pPr>
            <w:r w:rsidRPr="00AE16CD">
              <w:rPr>
                <w:szCs w:val="21"/>
              </w:rPr>
              <w:lastRenderedPageBreak/>
              <w:t>完成人情况</w:t>
            </w:r>
          </w:p>
        </w:tc>
        <w:tc>
          <w:tcPr>
            <w:tcW w:w="7655" w:type="dxa"/>
            <w:vAlign w:val="center"/>
          </w:tcPr>
          <w:p w:rsidR="00604903" w:rsidRPr="00AE16CD" w:rsidRDefault="000934E3" w:rsidP="00F56B41">
            <w:r w:rsidRPr="00AE16CD">
              <w:rPr>
                <w:b/>
                <w:szCs w:val="21"/>
              </w:rPr>
              <w:t>李武</w:t>
            </w:r>
            <w:r w:rsidR="00604903" w:rsidRPr="00AE16CD">
              <w:rPr>
                <w:b/>
                <w:szCs w:val="21"/>
              </w:rPr>
              <w:t>，</w:t>
            </w:r>
            <w:r w:rsidR="00604903" w:rsidRPr="00AE16CD">
              <w:rPr>
                <w:szCs w:val="21"/>
              </w:rPr>
              <w:t>排名第</w:t>
            </w:r>
            <w:r w:rsidR="00604903" w:rsidRPr="00AE16CD">
              <w:rPr>
                <w:szCs w:val="21"/>
              </w:rPr>
              <w:t>1</w:t>
            </w:r>
            <w:r w:rsidR="00604903" w:rsidRPr="00AE16CD">
              <w:rPr>
                <w:szCs w:val="21"/>
              </w:rPr>
              <w:t>，教授，博士，现就职于</w:t>
            </w:r>
            <w:r w:rsidRPr="00AE16CD">
              <w:rPr>
                <w:szCs w:val="21"/>
              </w:rPr>
              <w:t>北京师范大学</w:t>
            </w:r>
            <w:r w:rsidR="007D1B2C" w:rsidRPr="00AE16CD">
              <w:rPr>
                <w:szCs w:val="21"/>
              </w:rPr>
              <w:t>，</w:t>
            </w:r>
            <w:r w:rsidR="006441FF" w:rsidRPr="00AE16CD">
              <w:rPr>
                <w:szCs w:val="21"/>
              </w:rPr>
              <w:t>完成单位为</w:t>
            </w:r>
            <w:r w:rsidR="00A141D8" w:rsidRPr="00AE16CD">
              <w:rPr>
                <w:szCs w:val="21"/>
              </w:rPr>
              <w:t>北京师范大学</w:t>
            </w:r>
            <w:r w:rsidR="004F03EE" w:rsidRPr="00AE16CD">
              <w:rPr>
                <w:szCs w:val="21"/>
              </w:rPr>
              <w:t>；</w:t>
            </w:r>
            <w:r w:rsidRPr="00AE16CD">
              <w:rPr>
                <w:szCs w:val="21"/>
              </w:rPr>
              <w:t>以清醒猕猴为动物模型，采用微电极阵列记录，本人领导的研究组发现，在视觉学习过程中，视皮层神经元集群会产生特定的激活模式：编码任务相关信息的神经元其激活强度随训练而增强，而对无关信号反应的神经元其反应逐渐被抑制。这种神经元集群编码的优化程度与学习效果密切相关（</w:t>
            </w:r>
            <w:r w:rsidRPr="00AE16CD">
              <w:rPr>
                <w:szCs w:val="21"/>
              </w:rPr>
              <w:t>Yan et al., Nature Neuroscience 2014</w:t>
            </w:r>
            <w:r w:rsidRPr="00AE16CD">
              <w:rPr>
                <w:szCs w:val="21"/>
              </w:rPr>
              <w:t>，通讯作者）。此外，低级皮层激活模式的优化依赖于高级皮层的反馈调控；前馈和反馈的协同作用使得输入信号中携带更多与任务相关的信息（</w:t>
            </w:r>
            <w:r w:rsidRPr="00AE16CD">
              <w:rPr>
                <w:szCs w:val="21"/>
              </w:rPr>
              <w:t>Chen et al., Neuron 2014</w:t>
            </w:r>
            <w:r w:rsidRPr="00AE16CD">
              <w:rPr>
                <w:szCs w:val="21"/>
              </w:rPr>
              <w:t>，通讯作者）。这些研究从神经元层面上揭示了有效学习的机制。本人还与余聪和宋艳课题组合作，揭示了学习迁移性的规律（</w:t>
            </w:r>
            <w:r w:rsidRPr="00AE16CD">
              <w:t>Wang et al., Journal of Neuroscience 2016</w:t>
            </w:r>
            <w:r w:rsidRPr="00AE16CD">
              <w:rPr>
                <w:szCs w:val="21"/>
              </w:rPr>
              <w:t xml:space="preserve">, </w:t>
            </w:r>
            <w:r w:rsidRPr="00AE16CD">
              <w:rPr>
                <w:szCs w:val="21"/>
              </w:rPr>
              <w:t>并列通讯作者）以及前额叶的激活与有效学习的关系（</w:t>
            </w:r>
            <w:r w:rsidRPr="00AE16CD">
              <w:rPr>
                <w:szCs w:val="21"/>
              </w:rPr>
              <w:t xml:space="preserve">Wang et al., NeuroImage 2016, </w:t>
            </w:r>
            <w:r w:rsidRPr="00AE16CD">
              <w:rPr>
                <w:szCs w:val="21"/>
              </w:rPr>
              <w:t>参与）</w:t>
            </w:r>
            <w:r w:rsidR="006441FF" w:rsidRPr="00AE16CD">
              <w:t>。</w:t>
            </w:r>
          </w:p>
          <w:p w:rsidR="001B57C7" w:rsidRPr="00AE16CD" w:rsidRDefault="001B57C7" w:rsidP="00F56B41">
            <w:pPr>
              <w:rPr>
                <w:szCs w:val="21"/>
              </w:rPr>
            </w:pPr>
            <w:r w:rsidRPr="00AE16CD">
              <w:t>曾获：</w:t>
            </w:r>
            <w:r w:rsidR="000934E3" w:rsidRPr="00AE16CD">
              <w:rPr>
                <w:szCs w:val="21"/>
              </w:rPr>
              <w:t>2012</w:t>
            </w:r>
            <w:r w:rsidR="000934E3" w:rsidRPr="00AE16CD">
              <w:rPr>
                <w:szCs w:val="21"/>
              </w:rPr>
              <w:t>年度高等学校科学研究优秀成果奖（科学技术）：自然科学奖一等奖（获奖项目</w:t>
            </w:r>
            <w:r w:rsidR="000934E3" w:rsidRPr="00AE16CD">
              <w:rPr>
                <w:szCs w:val="21"/>
              </w:rPr>
              <w:t>“</w:t>
            </w:r>
            <w:r w:rsidR="000934E3" w:rsidRPr="00AE16CD">
              <w:rPr>
                <w:szCs w:val="21"/>
              </w:rPr>
              <w:t>视觉学习与脑的可塑性</w:t>
            </w:r>
            <w:r w:rsidR="000934E3" w:rsidRPr="00AE16CD">
              <w:rPr>
                <w:szCs w:val="21"/>
              </w:rPr>
              <w:t>”</w:t>
            </w:r>
            <w:r w:rsidR="000934E3" w:rsidRPr="00AE16CD">
              <w:rPr>
                <w:szCs w:val="21"/>
              </w:rPr>
              <w:t>，第</w:t>
            </w:r>
            <w:r w:rsidR="000934E3" w:rsidRPr="00AE16CD">
              <w:rPr>
                <w:szCs w:val="21"/>
              </w:rPr>
              <w:t>3</w:t>
            </w:r>
            <w:r w:rsidR="000934E3" w:rsidRPr="00AE16CD">
              <w:rPr>
                <w:szCs w:val="21"/>
              </w:rPr>
              <w:t>完成人）</w:t>
            </w:r>
          </w:p>
          <w:p w:rsidR="000934E3" w:rsidRPr="00AE16CD" w:rsidRDefault="000934E3" w:rsidP="00F56B41">
            <w:pPr>
              <w:rPr>
                <w:b/>
                <w:sz w:val="15"/>
                <w:szCs w:val="15"/>
              </w:rPr>
            </w:pPr>
          </w:p>
          <w:p w:rsidR="001B57C7" w:rsidRPr="00AE16CD" w:rsidRDefault="008F0164" w:rsidP="00F56B41">
            <w:r w:rsidRPr="00AE16CD">
              <w:rPr>
                <w:b/>
                <w:szCs w:val="21"/>
              </w:rPr>
              <w:t>薛贵</w:t>
            </w:r>
            <w:r w:rsidR="00604903" w:rsidRPr="00AE16CD">
              <w:rPr>
                <w:b/>
                <w:szCs w:val="21"/>
              </w:rPr>
              <w:t>，</w:t>
            </w:r>
            <w:r w:rsidR="00604903" w:rsidRPr="00AE16CD">
              <w:rPr>
                <w:szCs w:val="21"/>
              </w:rPr>
              <w:t>排名第</w:t>
            </w:r>
            <w:r w:rsidR="00604903" w:rsidRPr="00AE16CD">
              <w:rPr>
                <w:szCs w:val="21"/>
              </w:rPr>
              <w:t>2</w:t>
            </w:r>
            <w:r w:rsidR="00604903" w:rsidRPr="00AE16CD">
              <w:rPr>
                <w:szCs w:val="21"/>
              </w:rPr>
              <w:t>，</w:t>
            </w:r>
            <w:r w:rsidR="006441FF" w:rsidRPr="00AE16CD">
              <w:rPr>
                <w:szCs w:val="21"/>
              </w:rPr>
              <w:t>教授</w:t>
            </w:r>
            <w:r w:rsidR="00604903" w:rsidRPr="00AE16CD">
              <w:rPr>
                <w:szCs w:val="21"/>
              </w:rPr>
              <w:t>，博士，现就职于</w:t>
            </w:r>
            <w:r w:rsidR="00F35230" w:rsidRPr="00AE16CD">
              <w:rPr>
                <w:szCs w:val="21"/>
              </w:rPr>
              <w:t>北京师范大学</w:t>
            </w:r>
            <w:r w:rsidR="00604903" w:rsidRPr="00AE16CD">
              <w:rPr>
                <w:szCs w:val="21"/>
              </w:rPr>
              <w:t>，</w:t>
            </w:r>
            <w:r w:rsidR="006441FF" w:rsidRPr="00AE16CD">
              <w:rPr>
                <w:szCs w:val="21"/>
              </w:rPr>
              <w:t>完成单位为</w:t>
            </w:r>
            <w:r w:rsidR="00A141D8" w:rsidRPr="00AE16CD">
              <w:rPr>
                <w:szCs w:val="21"/>
              </w:rPr>
              <w:t>北京师范大学</w:t>
            </w:r>
            <w:r w:rsidR="004F03EE" w:rsidRPr="00AE16CD">
              <w:rPr>
                <w:szCs w:val="21"/>
              </w:rPr>
              <w:t>；</w:t>
            </w:r>
            <w:r w:rsidR="00A141D8" w:rsidRPr="00AE16CD">
              <w:rPr>
                <w:szCs w:val="21"/>
              </w:rPr>
              <w:t>基于人类被试，通过结合功能磁共振成像（</w:t>
            </w:r>
            <w:r w:rsidR="00A141D8" w:rsidRPr="00AE16CD">
              <w:rPr>
                <w:szCs w:val="21"/>
              </w:rPr>
              <w:t>fMRI</w:t>
            </w:r>
            <w:r w:rsidR="00A141D8" w:rsidRPr="00AE16CD">
              <w:rPr>
                <w:szCs w:val="21"/>
              </w:rPr>
              <w:t>）和脑电事件相关电位（</w:t>
            </w:r>
            <w:r w:rsidR="00A141D8" w:rsidRPr="00AE16CD">
              <w:rPr>
                <w:szCs w:val="21"/>
              </w:rPr>
              <w:t>ERP</w:t>
            </w:r>
            <w:r w:rsidR="00A141D8" w:rsidRPr="00AE16CD">
              <w:rPr>
                <w:szCs w:val="21"/>
              </w:rPr>
              <w:t>），本人领导的课题组发现，在陈述性学习任务中，记忆的效果的好坏取决于相关脑区在重复学习过程中激活模式的时空一致性高低，并且这种激活模式一致性程度受到额顶皮层的调控（</w:t>
            </w:r>
            <w:r w:rsidR="00A141D8" w:rsidRPr="00AE16CD">
              <w:rPr>
                <w:szCs w:val="21"/>
              </w:rPr>
              <w:t>Xue et al. Cerebral Cortex 2013</w:t>
            </w:r>
            <w:r w:rsidR="00A141D8" w:rsidRPr="00AE16CD">
              <w:rPr>
                <w:szCs w:val="21"/>
              </w:rPr>
              <w:t>）。我们还发现，利用经颅直流电刺激（</w:t>
            </w:r>
            <w:r w:rsidR="00A141D8" w:rsidRPr="00AE16CD">
              <w:rPr>
                <w:szCs w:val="21"/>
              </w:rPr>
              <w:t>tDCS</w:t>
            </w:r>
            <w:r w:rsidR="00A141D8" w:rsidRPr="00AE16CD">
              <w:rPr>
                <w:szCs w:val="21"/>
              </w:rPr>
              <w:t>）的方法对额顶皮层进行干预可以提高了其它相关脑区激活模式的一致性并同时提高学习记忆的效果（</w:t>
            </w:r>
            <w:r w:rsidR="00A141D8" w:rsidRPr="00AE16CD">
              <w:rPr>
                <w:szCs w:val="21"/>
              </w:rPr>
              <w:t>Lu et al., 2015 Current Biology</w:t>
            </w:r>
            <w:r w:rsidR="00A141D8" w:rsidRPr="00AE16CD">
              <w:rPr>
                <w:szCs w:val="21"/>
              </w:rPr>
              <w:t>）。这些研究给出了有效学习的普适机制，并可以为发展无损干预的方法来提高学习记忆的效果提供理论指导</w:t>
            </w:r>
            <w:r w:rsidR="006441FF" w:rsidRPr="00AE16CD">
              <w:t>。</w:t>
            </w:r>
          </w:p>
          <w:p w:rsidR="006A6273" w:rsidRPr="00AE16CD" w:rsidRDefault="001B57C7" w:rsidP="00F56B41">
            <w:pPr>
              <w:rPr>
                <w:szCs w:val="21"/>
              </w:rPr>
            </w:pPr>
            <w:r w:rsidRPr="00AE16CD">
              <w:t>曾获：</w:t>
            </w:r>
            <w:r w:rsidR="008F0164" w:rsidRPr="00AE16CD">
              <w:rPr>
                <w:szCs w:val="21"/>
              </w:rPr>
              <w:t>2012</w:t>
            </w:r>
            <w:r w:rsidR="008F0164" w:rsidRPr="00AE16CD">
              <w:rPr>
                <w:szCs w:val="21"/>
              </w:rPr>
              <w:t>年度高等学校科学研究优秀成果奖（科学技术）：自然科学奖一等奖（获奖项目</w:t>
            </w:r>
            <w:r w:rsidR="008F0164" w:rsidRPr="00AE16CD">
              <w:rPr>
                <w:szCs w:val="21"/>
              </w:rPr>
              <w:t>“</w:t>
            </w:r>
            <w:r w:rsidR="008F0164" w:rsidRPr="00AE16CD">
              <w:rPr>
                <w:szCs w:val="21"/>
              </w:rPr>
              <w:t>视觉学习与脑的可塑性</w:t>
            </w:r>
            <w:r w:rsidR="008F0164" w:rsidRPr="00AE16CD">
              <w:rPr>
                <w:szCs w:val="21"/>
              </w:rPr>
              <w:t>”</w:t>
            </w:r>
            <w:r w:rsidR="008F0164" w:rsidRPr="00AE16CD">
              <w:rPr>
                <w:szCs w:val="21"/>
              </w:rPr>
              <w:t>，第</w:t>
            </w:r>
            <w:r w:rsidR="008F0164" w:rsidRPr="00AE16CD">
              <w:rPr>
                <w:szCs w:val="21"/>
              </w:rPr>
              <w:t>4</w:t>
            </w:r>
            <w:r w:rsidR="008F0164" w:rsidRPr="00AE16CD">
              <w:rPr>
                <w:szCs w:val="21"/>
              </w:rPr>
              <w:t>完成人）</w:t>
            </w:r>
          </w:p>
          <w:p w:rsidR="008F0164" w:rsidRPr="00AE16CD" w:rsidRDefault="008F0164" w:rsidP="00F56B41">
            <w:pPr>
              <w:rPr>
                <w:b/>
                <w:szCs w:val="21"/>
              </w:rPr>
            </w:pPr>
          </w:p>
          <w:p w:rsidR="00604903" w:rsidRPr="00AE16CD" w:rsidRDefault="00467889" w:rsidP="00F56B41">
            <w:r w:rsidRPr="00AE16CD">
              <w:rPr>
                <w:b/>
                <w:szCs w:val="21"/>
              </w:rPr>
              <w:t>余聪</w:t>
            </w:r>
            <w:r w:rsidR="00604903" w:rsidRPr="00AE16CD">
              <w:rPr>
                <w:b/>
                <w:szCs w:val="21"/>
              </w:rPr>
              <w:t>，</w:t>
            </w:r>
            <w:r w:rsidR="00604903" w:rsidRPr="00AE16CD">
              <w:rPr>
                <w:szCs w:val="21"/>
              </w:rPr>
              <w:t>排名第</w:t>
            </w:r>
            <w:r w:rsidR="00604903" w:rsidRPr="00AE16CD">
              <w:rPr>
                <w:szCs w:val="21"/>
              </w:rPr>
              <w:t>3</w:t>
            </w:r>
            <w:r w:rsidR="00604903" w:rsidRPr="00AE16CD">
              <w:rPr>
                <w:szCs w:val="21"/>
              </w:rPr>
              <w:t>，教授，博士，现就职于</w:t>
            </w:r>
            <w:r w:rsidRPr="00AE16CD">
              <w:rPr>
                <w:szCs w:val="21"/>
              </w:rPr>
              <w:t>北京</w:t>
            </w:r>
            <w:r w:rsidR="00604903" w:rsidRPr="00AE16CD">
              <w:rPr>
                <w:szCs w:val="21"/>
              </w:rPr>
              <w:t>大学，</w:t>
            </w:r>
            <w:r w:rsidR="00CA32B2">
              <w:rPr>
                <w:rFonts w:hint="eastAsia"/>
                <w:szCs w:val="21"/>
              </w:rPr>
              <w:t>曾就职于北京师范大学，</w:t>
            </w:r>
            <w:r w:rsidR="006A6273" w:rsidRPr="00AE16CD">
              <w:rPr>
                <w:szCs w:val="21"/>
              </w:rPr>
              <w:t>完成单位为</w:t>
            </w:r>
            <w:r w:rsidRPr="00AE16CD">
              <w:rPr>
                <w:szCs w:val="21"/>
              </w:rPr>
              <w:t>北京</w:t>
            </w:r>
            <w:r w:rsidR="006A6273" w:rsidRPr="00AE16CD">
              <w:rPr>
                <w:szCs w:val="21"/>
              </w:rPr>
              <w:t>大学</w:t>
            </w:r>
            <w:r w:rsidR="00224E75" w:rsidRPr="00AE16CD">
              <w:rPr>
                <w:szCs w:val="21"/>
              </w:rPr>
              <w:t>和北京师范大学</w:t>
            </w:r>
            <w:r w:rsidR="006A6273" w:rsidRPr="00AE16CD">
              <w:rPr>
                <w:szCs w:val="21"/>
              </w:rPr>
              <w:t>；</w:t>
            </w:r>
            <w:r w:rsidR="00D014E6" w:rsidRPr="00AE16CD">
              <w:t>通过创新性的研究理念和心理物理实验范式，本人对知觉学习的一些基本理论问题和重要现象进行了一系列的研究。在本项目中，和李武教授合作的研究证明知觉学习可以在不同物理刺激之间完全迁移，表明即便是对于简单的感知觉学习，其机理不仅仅是发生在人类认知加工的低级感觉阶段，而是涉及一个非常高级的概念学习过程（</w:t>
            </w:r>
            <w:r w:rsidR="00D014E6" w:rsidRPr="00AE16CD">
              <w:t>Wang et al., Journal of Neuroscience 2016</w:t>
            </w:r>
            <w:r w:rsidR="00D014E6" w:rsidRPr="00AE16CD">
              <w:t>，并列通讯作者）。本人的课题组还证明知觉学习的特异性不是学习（训练）导致的，而是未训练条件的刺激不足，这样高级的规则学习和未训练条件的感觉输入之间缺少功能连接，导致学习产生特异性（</w:t>
            </w:r>
            <w:r w:rsidR="00D014E6" w:rsidRPr="00AE16CD">
              <w:t>Xiong et al.,eLife 2016</w:t>
            </w:r>
            <w:r w:rsidR="00D014E6" w:rsidRPr="00AE16CD">
              <w:t>）。</w:t>
            </w:r>
            <w:r w:rsidR="00D014E6" w:rsidRPr="00AE16CD">
              <w:t xml:space="preserve"> </w:t>
            </w:r>
            <w:r w:rsidR="00D014E6" w:rsidRPr="00AE16CD">
              <w:t>这些研究结果挑战了知觉学习的主流理论并在相当程度上影响了整个知觉学习领域的发展态势。</w:t>
            </w:r>
          </w:p>
          <w:p w:rsidR="006A6273" w:rsidRPr="00AE16CD" w:rsidRDefault="00D014E6" w:rsidP="00F56B41">
            <w:pPr>
              <w:rPr>
                <w:szCs w:val="21"/>
              </w:rPr>
            </w:pPr>
            <w:r w:rsidRPr="00AE16CD">
              <w:t>曾获：</w:t>
            </w:r>
            <w:r w:rsidRPr="00AE16CD">
              <w:rPr>
                <w:szCs w:val="21"/>
              </w:rPr>
              <w:t>2012</w:t>
            </w:r>
            <w:r w:rsidRPr="00AE16CD">
              <w:rPr>
                <w:szCs w:val="21"/>
              </w:rPr>
              <w:t>年度高等学校科学研究优秀成果奖（科学技术）：自然科学奖一等奖（获奖项目</w:t>
            </w:r>
            <w:r w:rsidRPr="00AE16CD">
              <w:rPr>
                <w:szCs w:val="21"/>
              </w:rPr>
              <w:t>“</w:t>
            </w:r>
            <w:r w:rsidRPr="00AE16CD">
              <w:rPr>
                <w:szCs w:val="21"/>
              </w:rPr>
              <w:t>视觉学习与脑的可塑性</w:t>
            </w:r>
            <w:r w:rsidRPr="00AE16CD">
              <w:rPr>
                <w:szCs w:val="21"/>
              </w:rPr>
              <w:t>”</w:t>
            </w:r>
            <w:r w:rsidRPr="00AE16CD">
              <w:rPr>
                <w:szCs w:val="21"/>
              </w:rPr>
              <w:t>，第</w:t>
            </w:r>
            <w:r w:rsidRPr="00AE16CD">
              <w:rPr>
                <w:szCs w:val="21"/>
              </w:rPr>
              <w:t>2</w:t>
            </w:r>
            <w:r w:rsidRPr="00AE16CD">
              <w:rPr>
                <w:szCs w:val="21"/>
              </w:rPr>
              <w:t>完成人）</w:t>
            </w:r>
          </w:p>
          <w:p w:rsidR="00D014E6" w:rsidRPr="00AE16CD" w:rsidRDefault="00D014E6" w:rsidP="00F56B41">
            <w:pPr>
              <w:rPr>
                <w:szCs w:val="21"/>
              </w:rPr>
            </w:pPr>
          </w:p>
          <w:p w:rsidR="00434E0F" w:rsidRPr="00AE16CD" w:rsidRDefault="00954569" w:rsidP="00F56B41">
            <w:pPr>
              <w:rPr>
                <w:szCs w:val="21"/>
              </w:rPr>
            </w:pPr>
            <w:r w:rsidRPr="00AE16CD">
              <w:rPr>
                <w:b/>
                <w:szCs w:val="21"/>
              </w:rPr>
              <w:t>宋</w:t>
            </w:r>
            <w:r w:rsidR="003348F4" w:rsidRPr="00AE16CD">
              <w:rPr>
                <w:b/>
                <w:szCs w:val="21"/>
              </w:rPr>
              <w:t>艳</w:t>
            </w:r>
            <w:r w:rsidR="00604903" w:rsidRPr="00AE16CD">
              <w:rPr>
                <w:b/>
                <w:szCs w:val="21"/>
              </w:rPr>
              <w:t>，</w:t>
            </w:r>
            <w:r w:rsidR="00604903" w:rsidRPr="00AE16CD">
              <w:rPr>
                <w:szCs w:val="21"/>
              </w:rPr>
              <w:t>排名第</w:t>
            </w:r>
            <w:r w:rsidR="00604903" w:rsidRPr="00AE16CD">
              <w:rPr>
                <w:szCs w:val="21"/>
              </w:rPr>
              <w:t>4</w:t>
            </w:r>
            <w:r w:rsidR="00604903" w:rsidRPr="00AE16CD">
              <w:rPr>
                <w:szCs w:val="21"/>
              </w:rPr>
              <w:t>，</w:t>
            </w:r>
            <w:r w:rsidR="003348F4" w:rsidRPr="00AE16CD">
              <w:rPr>
                <w:szCs w:val="21"/>
              </w:rPr>
              <w:t>教授</w:t>
            </w:r>
            <w:r w:rsidR="00604903" w:rsidRPr="00AE16CD">
              <w:rPr>
                <w:szCs w:val="21"/>
              </w:rPr>
              <w:t>，</w:t>
            </w:r>
            <w:r w:rsidR="006A6273" w:rsidRPr="00AE16CD">
              <w:rPr>
                <w:szCs w:val="21"/>
              </w:rPr>
              <w:t>博士</w:t>
            </w:r>
            <w:r w:rsidR="00604903" w:rsidRPr="00AE16CD">
              <w:rPr>
                <w:szCs w:val="21"/>
              </w:rPr>
              <w:t>，现就职于</w:t>
            </w:r>
            <w:r w:rsidR="00224E75" w:rsidRPr="00AE16CD">
              <w:rPr>
                <w:szCs w:val="21"/>
              </w:rPr>
              <w:t>北京师范大学</w:t>
            </w:r>
            <w:r w:rsidR="00604903" w:rsidRPr="00AE16CD">
              <w:rPr>
                <w:szCs w:val="21"/>
              </w:rPr>
              <w:t>，</w:t>
            </w:r>
            <w:r w:rsidR="006A6273" w:rsidRPr="00AE16CD">
              <w:rPr>
                <w:szCs w:val="21"/>
              </w:rPr>
              <w:t>完成单位为</w:t>
            </w:r>
            <w:r w:rsidR="00224E75" w:rsidRPr="00AE16CD">
              <w:rPr>
                <w:szCs w:val="21"/>
              </w:rPr>
              <w:t>北京师范大学</w:t>
            </w:r>
            <w:r w:rsidR="006A6273" w:rsidRPr="00AE16CD">
              <w:rPr>
                <w:szCs w:val="21"/>
              </w:rPr>
              <w:t>；</w:t>
            </w:r>
            <w:r w:rsidRPr="00AE16CD">
              <w:rPr>
                <w:szCs w:val="21"/>
              </w:rPr>
              <w:t>本人领导的课题组通过在受试者进行视觉任务学习过程中，记录脑电事件相关电位，发现学习的效果与参与反馈调控以及执行功能控制的前额叶电活动强度（</w:t>
            </w:r>
            <w:r w:rsidRPr="00AE16CD">
              <w:rPr>
                <w:szCs w:val="21"/>
              </w:rPr>
              <w:t>anterior P160–350</w:t>
            </w:r>
            <w:r w:rsidRPr="00AE16CD">
              <w:rPr>
                <w:szCs w:val="21"/>
              </w:rPr>
              <w:t>成分）高度相关。这一结果证明了前额叶的反馈调控即使在简单的感知觉任务学习中也是至关重要的，</w:t>
            </w:r>
            <w:r w:rsidR="00AE16CD" w:rsidRPr="00AE16CD">
              <w:rPr>
                <w:szCs w:val="21"/>
              </w:rPr>
              <w:t>而且高级认知脑区的调控功能在学习过程中也发生变化（</w:t>
            </w:r>
            <w:r w:rsidR="00AE16CD" w:rsidRPr="00AE16CD">
              <w:rPr>
                <w:szCs w:val="21"/>
              </w:rPr>
              <w:t xml:space="preserve">Wang et al., NeuroImage 2016, </w:t>
            </w:r>
            <w:r w:rsidR="00AE16CD" w:rsidRPr="00AE16CD">
              <w:rPr>
                <w:szCs w:val="21"/>
              </w:rPr>
              <w:t>通讯作者）。</w:t>
            </w:r>
          </w:p>
          <w:p w:rsidR="00434E0F" w:rsidRPr="00AE16CD" w:rsidRDefault="00434E0F" w:rsidP="00F56B41">
            <w:pPr>
              <w:rPr>
                <w:szCs w:val="21"/>
              </w:rPr>
            </w:pPr>
          </w:p>
          <w:p w:rsidR="00434E0F" w:rsidRPr="00AE16CD" w:rsidRDefault="00434E0F" w:rsidP="00F56B41">
            <w:pPr>
              <w:rPr>
                <w:szCs w:val="21"/>
              </w:rPr>
            </w:pPr>
          </w:p>
          <w:p w:rsidR="00434E0F" w:rsidRPr="00AE16CD" w:rsidRDefault="00434E0F" w:rsidP="00F56B41">
            <w:pPr>
              <w:rPr>
                <w:szCs w:val="21"/>
              </w:rPr>
            </w:pPr>
          </w:p>
          <w:p w:rsidR="00434E0F" w:rsidRPr="00AE16CD" w:rsidRDefault="00434E0F" w:rsidP="00F56B41">
            <w:pPr>
              <w:rPr>
                <w:szCs w:val="21"/>
              </w:rPr>
            </w:pPr>
          </w:p>
          <w:p w:rsidR="006A6273" w:rsidRPr="00AE16CD" w:rsidRDefault="00954569" w:rsidP="00F56B41">
            <w:r w:rsidRPr="00AE16CD">
              <w:rPr>
                <w:szCs w:val="21"/>
              </w:rPr>
              <w:t>程中也发生变化（</w:t>
            </w:r>
            <w:r w:rsidRPr="00AE16CD">
              <w:rPr>
                <w:szCs w:val="21"/>
              </w:rPr>
              <w:t xml:space="preserve">Wang et al., NeuroImage 2016, </w:t>
            </w:r>
            <w:r w:rsidRPr="00AE16CD">
              <w:rPr>
                <w:szCs w:val="21"/>
              </w:rPr>
              <w:t>通讯作者）。</w:t>
            </w:r>
            <w:r w:rsidR="006A6273" w:rsidRPr="00AE16CD">
              <w:t>曾获：</w:t>
            </w:r>
            <w:r w:rsidR="006A6273" w:rsidRPr="00AE16CD">
              <w:t>2011</w:t>
            </w:r>
            <w:r w:rsidR="000549E6" w:rsidRPr="00AE16CD">
              <w:t>年</w:t>
            </w:r>
            <w:r w:rsidR="006A6273" w:rsidRPr="00AE16CD">
              <w:t>教育部自然科学奖一等奖：</w:t>
            </w:r>
            <w:r w:rsidR="006A6273" w:rsidRPr="00AE16CD">
              <w:t>DNA</w:t>
            </w:r>
            <w:r w:rsidR="006A6273" w:rsidRPr="00AE16CD">
              <w:t>计算机相关理论与应用研究，排名第五</w:t>
            </w:r>
          </w:p>
          <w:p w:rsidR="006A6273" w:rsidRPr="00AE16CD" w:rsidRDefault="006A6273" w:rsidP="00604903">
            <w:pPr>
              <w:spacing w:line="316" w:lineRule="exact"/>
              <w:rPr>
                <w:szCs w:val="21"/>
              </w:rPr>
            </w:pPr>
          </w:p>
          <w:p w:rsidR="006A6273" w:rsidRPr="00AE16CD" w:rsidRDefault="006A6273" w:rsidP="006A6273">
            <w:pPr>
              <w:spacing w:line="316" w:lineRule="exact"/>
            </w:pPr>
            <w:r w:rsidRPr="00AE16CD">
              <w:rPr>
                <w:b/>
                <w:szCs w:val="21"/>
              </w:rPr>
              <w:t>代琦</w:t>
            </w:r>
            <w:r w:rsidR="00604903" w:rsidRPr="00AE16CD">
              <w:rPr>
                <w:b/>
                <w:szCs w:val="21"/>
              </w:rPr>
              <w:t>，</w:t>
            </w:r>
            <w:r w:rsidR="00604903" w:rsidRPr="00AE16CD">
              <w:rPr>
                <w:szCs w:val="21"/>
              </w:rPr>
              <w:t>排名第</w:t>
            </w:r>
            <w:r w:rsidR="00604903" w:rsidRPr="00AE16CD">
              <w:rPr>
                <w:szCs w:val="21"/>
              </w:rPr>
              <w:t>5</w:t>
            </w:r>
            <w:r w:rsidR="00604903" w:rsidRPr="00AE16CD">
              <w:rPr>
                <w:szCs w:val="21"/>
              </w:rPr>
              <w:t>，</w:t>
            </w:r>
            <w:r w:rsidRPr="00AE16CD">
              <w:rPr>
                <w:szCs w:val="21"/>
              </w:rPr>
              <w:t>教授，博士</w:t>
            </w:r>
            <w:r w:rsidR="00604903" w:rsidRPr="00AE16CD">
              <w:rPr>
                <w:szCs w:val="21"/>
              </w:rPr>
              <w:t>，现就</w:t>
            </w:r>
            <w:r w:rsidRPr="00AE16CD">
              <w:rPr>
                <w:szCs w:val="21"/>
              </w:rPr>
              <w:t>职于浙江理工大学，完成单位为大连理工大学；</w:t>
            </w:r>
            <w:r w:rsidRPr="00AE16CD">
              <w:t>针对生物序列中重要的遗传和进化功能片段，采用统计方法定量评价了其特殊的组成和伪周期模式，识别出了过高表达序列片段，实现了生物序列的模体发现，是代表性论文</w:t>
            </w:r>
            <w:r w:rsidRPr="00AE16CD">
              <w:t>3</w:t>
            </w:r>
            <w:r w:rsidRPr="00AE16CD">
              <w:t>的第一作者和通讯作者，对《重要科学发现》中所列第</w:t>
            </w:r>
            <w:r w:rsidRPr="00AE16CD">
              <w:t>1</w:t>
            </w:r>
            <w:r w:rsidRPr="00AE16CD">
              <w:t>项发现做出了重要贡献。</w:t>
            </w:r>
          </w:p>
          <w:p w:rsidR="00604903" w:rsidRPr="00AE16CD" w:rsidRDefault="00604903" w:rsidP="00604903">
            <w:pPr>
              <w:spacing w:line="316" w:lineRule="exact"/>
              <w:rPr>
                <w:szCs w:val="21"/>
              </w:rPr>
            </w:pPr>
            <w:r w:rsidRPr="00AE16CD">
              <w:rPr>
                <w:szCs w:val="21"/>
              </w:rPr>
              <w:t>。</w:t>
            </w:r>
          </w:p>
          <w:p w:rsidR="00604903" w:rsidRPr="00AE16CD" w:rsidRDefault="00604903" w:rsidP="006A6273">
            <w:pPr>
              <w:spacing w:line="316" w:lineRule="exact"/>
              <w:rPr>
                <w:b/>
                <w:szCs w:val="21"/>
              </w:rPr>
            </w:pPr>
          </w:p>
        </w:tc>
      </w:tr>
      <w:tr w:rsidR="00434E0F" w:rsidRPr="006207A2" w:rsidTr="00D431C4">
        <w:trPr>
          <w:trHeight w:hRule="exact" w:val="14044"/>
        </w:trPr>
        <w:tc>
          <w:tcPr>
            <w:tcW w:w="817" w:type="dxa"/>
            <w:vAlign w:val="center"/>
          </w:tcPr>
          <w:p w:rsidR="00434E0F" w:rsidRPr="00666C71" w:rsidRDefault="00AE16CD" w:rsidP="00604903">
            <w:pPr>
              <w:spacing w:line="300" w:lineRule="exact"/>
              <w:jc w:val="center"/>
              <w:rPr>
                <w:szCs w:val="21"/>
              </w:rPr>
            </w:pPr>
            <w:r w:rsidRPr="00666C71">
              <w:rPr>
                <w:szCs w:val="21"/>
              </w:rPr>
              <w:lastRenderedPageBreak/>
              <w:t>完成人情况</w:t>
            </w:r>
          </w:p>
        </w:tc>
        <w:tc>
          <w:tcPr>
            <w:tcW w:w="7655" w:type="dxa"/>
            <w:vAlign w:val="center"/>
          </w:tcPr>
          <w:p w:rsidR="00AE16CD" w:rsidRPr="00666C71" w:rsidRDefault="00D90DCE" w:rsidP="00AE16CD">
            <w:pPr>
              <w:rPr>
                <w:szCs w:val="21"/>
              </w:rPr>
            </w:pPr>
            <w:r w:rsidRPr="00666C71">
              <w:rPr>
                <w:b/>
                <w:szCs w:val="21"/>
              </w:rPr>
              <w:t>阎崟</w:t>
            </w:r>
            <w:r w:rsidR="00AE16CD" w:rsidRPr="00666C71">
              <w:rPr>
                <w:szCs w:val="21"/>
              </w:rPr>
              <w:t>，排名第</w:t>
            </w:r>
            <w:r w:rsidRPr="00666C71">
              <w:rPr>
                <w:szCs w:val="21"/>
              </w:rPr>
              <w:t>5</w:t>
            </w:r>
            <w:r w:rsidR="00AE16CD" w:rsidRPr="00666C71">
              <w:rPr>
                <w:szCs w:val="21"/>
              </w:rPr>
              <w:t>，</w:t>
            </w:r>
            <w:r w:rsidRPr="00666C71">
              <w:rPr>
                <w:szCs w:val="21"/>
              </w:rPr>
              <w:t>讲师</w:t>
            </w:r>
            <w:r w:rsidR="00AE16CD" w:rsidRPr="00666C71">
              <w:rPr>
                <w:szCs w:val="21"/>
              </w:rPr>
              <w:t>，博士，现就职于北京师范大学，完成单位为北京师范大学；</w:t>
            </w:r>
            <w:r w:rsidRPr="00666C71">
              <w:rPr>
                <w:szCs w:val="21"/>
              </w:rPr>
              <w:t>本人参与了李武课题组的研究，发表了成果</w:t>
            </w:r>
            <w:r w:rsidRPr="00666C71">
              <w:rPr>
                <w:szCs w:val="21"/>
              </w:rPr>
              <w:t>Perceptual training continuously refines neuronal population codes in primary visual cortex</w:t>
            </w:r>
            <w:r w:rsidRPr="00666C71">
              <w:rPr>
                <w:szCs w:val="21"/>
              </w:rPr>
              <w:t>（</w:t>
            </w:r>
            <w:r w:rsidRPr="00666C71">
              <w:rPr>
                <w:szCs w:val="21"/>
              </w:rPr>
              <w:t>Yan et al., Nature Neuroscience 2014</w:t>
            </w:r>
            <w:r w:rsidRPr="00666C71">
              <w:rPr>
                <w:szCs w:val="21"/>
              </w:rPr>
              <w:t>，共同第一作者排名第一）和</w:t>
            </w:r>
            <w:r w:rsidRPr="00666C71">
              <w:t>Incremental integration of global contours through interplay between visual cortical areas</w:t>
            </w:r>
            <w:r w:rsidRPr="00666C71">
              <w:rPr>
                <w:szCs w:val="21"/>
              </w:rPr>
              <w:t>（</w:t>
            </w:r>
            <w:r w:rsidRPr="00666C71">
              <w:rPr>
                <w:szCs w:val="21"/>
              </w:rPr>
              <w:t>Chen et al., Neuron 2014</w:t>
            </w:r>
            <w:r w:rsidRPr="00666C71">
              <w:rPr>
                <w:szCs w:val="21"/>
              </w:rPr>
              <w:t>，共同第一作者排名第二）；此外，作为第三作者还参与了成果</w:t>
            </w:r>
            <w:r w:rsidRPr="00666C71">
              <w:rPr>
                <w:szCs w:val="21"/>
              </w:rPr>
              <w:t>Modulation of neuronal responses by exogenous attention in macaque primary visual cortex</w:t>
            </w:r>
            <w:r w:rsidRPr="00666C71">
              <w:rPr>
                <w:szCs w:val="21"/>
              </w:rPr>
              <w:t>的工作（</w:t>
            </w:r>
            <w:r w:rsidRPr="00666C71">
              <w:t>Wang et al., Journal of Neuroscience 201</w:t>
            </w:r>
            <w:r w:rsidR="00666C71">
              <w:rPr>
                <w:rFonts w:hint="eastAsia"/>
              </w:rPr>
              <w:t>5</w:t>
            </w:r>
            <w:r w:rsidRPr="00666C71">
              <w:t>）</w:t>
            </w:r>
            <w:r w:rsidRPr="00666C71">
              <w:rPr>
                <w:szCs w:val="21"/>
              </w:rPr>
              <w:t>。</w:t>
            </w:r>
          </w:p>
          <w:p w:rsidR="00A6789D" w:rsidRPr="00666C71" w:rsidRDefault="00A6789D" w:rsidP="00AE16CD">
            <w:pPr>
              <w:rPr>
                <w:szCs w:val="21"/>
              </w:rPr>
            </w:pPr>
          </w:p>
          <w:p w:rsidR="00D90DCE" w:rsidRPr="00666C71" w:rsidRDefault="00867A91" w:rsidP="00D90DCE">
            <w:pPr>
              <w:spacing w:line="360" w:lineRule="exact"/>
              <w:rPr>
                <w:szCs w:val="21"/>
              </w:rPr>
            </w:pPr>
            <w:r w:rsidRPr="00666C71">
              <w:rPr>
                <w:b/>
                <w:szCs w:val="21"/>
              </w:rPr>
              <w:t>张俊云，</w:t>
            </w:r>
            <w:r w:rsidRPr="00666C71">
              <w:rPr>
                <w:szCs w:val="21"/>
              </w:rPr>
              <w:t>排名第</w:t>
            </w:r>
            <w:r w:rsidRPr="00666C71">
              <w:rPr>
                <w:szCs w:val="21"/>
              </w:rPr>
              <w:t>6</w:t>
            </w:r>
            <w:r w:rsidRPr="00666C71">
              <w:rPr>
                <w:szCs w:val="21"/>
              </w:rPr>
              <w:t>，副教授，博士，现就职于北京大学，</w:t>
            </w:r>
            <w:r w:rsidR="00CA32B2">
              <w:rPr>
                <w:rFonts w:hint="eastAsia"/>
                <w:szCs w:val="21"/>
              </w:rPr>
              <w:t>曾就职于北京师范大学，</w:t>
            </w:r>
            <w:r w:rsidRPr="00666C71">
              <w:rPr>
                <w:szCs w:val="21"/>
              </w:rPr>
              <w:t>完成单位为北京大学和北京师范大学；</w:t>
            </w:r>
            <w:r w:rsidR="00D90DCE" w:rsidRPr="00666C71">
              <w:rPr>
                <w:szCs w:val="21"/>
              </w:rPr>
              <w:t>本人参与了余聪课题组的研究，作为共同第一作者（排名第三）参与了成果</w:t>
            </w:r>
            <w:r w:rsidR="00D90DCE" w:rsidRPr="00666C71">
              <w:rPr>
                <w:szCs w:val="21"/>
              </w:rPr>
              <w:t xml:space="preserve">Perceptual </w:t>
            </w:r>
            <w:r w:rsidR="0058665A">
              <w:rPr>
                <w:szCs w:val="21"/>
              </w:rPr>
              <w:t>learning</w:t>
            </w:r>
            <w:r w:rsidR="00D90DCE" w:rsidRPr="00666C71">
              <w:rPr>
                <w:szCs w:val="21"/>
              </w:rPr>
              <w:t xml:space="preserve"> at a conceptual level</w:t>
            </w:r>
            <w:r w:rsidR="00D90DCE" w:rsidRPr="00666C71">
              <w:rPr>
                <w:szCs w:val="21"/>
              </w:rPr>
              <w:t>的工作（</w:t>
            </w:r>
            <w:r w:rsidR="00D90DCE" w:rsidRPr="00666C71">
              <w:t>Wang et al., Journal of Neuroscience 2016</w:t>
            </w:r>
            <w:r w:rsidR="00D90DCE" w:rsidRPr="00666C71">
              <w:t>）</w:t>
            </w:r>
            <w:r w:rsidR="00D90DCE" w:rsidRPr="00666C71">
              <w:rPr>
                <w:szCs w:val="21"/>
              </w:rPr>
              <w:t>，作为第二作者参与了成果</w:t>
            </w:r>
            <w:r w:rsidR="00D90DCE" w:rsidRPr="00666C71">
              <w:rPr>
                <w:szCs w:val="21"/>
              </w:rPr>
              <w:t xml:space="preserve">Bottom-up and top-down influences at untrained </w:t>
            </w:r>
            <w:r w:rsidR="00F11ED1">
              <w:rPr>
                <w:szCs w:val="21"/>
              </w:rPr>
              <w:t>conditions</w:t>
            </w:r>
            <w:r w:rsidR="00D90DCE" w:rsidRPr="00666C71">
              <w:rPr>
                <w:szCs w:val="21"/>
              </w:rPr>
              <w:t xml:space="preserve"> determine perceptual learning specificity and transfer</w:t>
            </w:r>
            <w:r w:rsidR="00D90DCE" w:rsidRPr="00666C71">
              <w:rPr>
                <w:szCs w:val="21"/>
              </w:rPr>
              <w:t>的工作</w:t>
            </w:r>
            <w:r w:rsidR="00D90DCE" w:rsidRPr="00666C71">
              <w:t>（</w:t>
            </w:r>
            <w:r w:rsidR="00D90DCE" w:rsidRPr="00666C71">
              <w:t>Xiong et al.,eLife 2016</w:t>
            </w:r>
            <w:r w:rsidR="00D90DCE" w:rsidRPr="00666C71">
              <w:t>）</w:t>
            </w:r>
            <w:r w:rsidR="00D90DCE" w:rsidRPr="00666C71">
              <w:rPr>
                <w:szCs w:val="21"/>
              </w:rPr>
              <w:t>。</w:t>
            </w:r>
          </w:p>
          <w:p w:rsidR="00A6789D" w:rsidRPr="00666C71" w:rsidRDefault="00A6789D" w:rsidP="00AE16CD">
            <w:pPr>
              <w:rPr>
                <w:szCs w:val="21"/>
              </w:rPr>
            </w:pPr>
          </w:p>
          <w:p w:rsidR="00A67DF8" w:rsidRPr="00666C71" w:rsidRDefault="00A67DF8" w:rsidP="00A67DF8">
            <w:pPr>
              <w:spacing w:line="360" w:lineRule="exact"/>
              <w:rPr>
                <w:szCs w:val="21"/>
              </w:rPr>
            </w:pPr>
            <w:r w:rsidRPr="00666C71">
              <w:rPr>
                <w:b/>
                <w:szCs w:val="21"/>
              </w:rPr>
              <w:t>王蕊，</w:t>
            </w:r>
            <w:r w:rsidRPr="00666C71">
              <w:rPr>
                <w:szCs w:val="21"/>
              </w:rPr>
              <w:t>排名第</w:t>
            </w:r>
            <w:r w:rsidR="00EC1EB3" w:rsidRPr="00666C71">
              <w:rPr>
                <w:szCs w:val="21"/>
              </w:rPr>
              <w:t>7</w:t>
            </w:r>
            <w:r w:rsidRPr="00666C71">
              <w:rPr>
                <w:szCs w:val="21"/>
              </w:rPr>
              <w:t>，</w:t>
            </w:r>
            <w:r w:rsidR="00EC1EB3" w:rsidRPr="00666C71">
              <w:rPr>
                <w:szCs w:val="21"/>
              </w:rPr>
              <w:t>助理研究院</w:t>
            </w:r>
            <w:r w:rsidRPr="00666C71">
              <w:rPr>
                <w:szCs w:val="21"/>
              </w:rPr>
              <w:t>，博士，现就职于</w:t>
            </w:r>
            <w:r w:rsidR="00E918E9" w:rsidRPr="00666C71">
              <w:rPr>
                <w:szCs w:val="21"/>
              </w:rPr>
              <w:t>中国科学院心理研究所</w:t>
            </w:r>
            <w:r w:rsidRPr="00666C71">
              <w:rPr>
                <w:szCs w:val="21"/>
              </w:rPr>
              <w:t>，完成单位为北京师范大学；</w:t>
            </w:r>
            <w:r w:rsidR="00E918E9" w:rsidRPr="00666C71">
              <w:rPr>
                <w:szCs w:val="21"/>
              </w:rPr>
              <w:t>本人参与了余聪课题组的研究，作为共同第一作者（排名第一）参与了成果</w:t>
            </w:r>
            <w:r w:rsidR="00E918E9" w:rsidRPr="00666C71">
              <w:rPr>
                <w:szCs w:val="21"/>
              </w:rPr>
              <w:t xml:space="preserve">Perceptual </w:t>
            </w:r>
            <w:r w:rsidR="00105306">
              <w:rPr>
                <w:szCs w:val="21"/>
              </w:rPr>
              <w:t>learning</w:t>
            </w:r>
            <w:bookmarkStart w:id="0" w:name="_GoBack"/>
            <w:bookmarkEnd w:id="0"/>
            <w:r w:rsidR="00E918E9" w:rsidRPr="00666C71">
              <w:rPr>
                <w:szCs w:val="21"/>
              </w:rPr>
              <w:t xml:space="preserve"> at a conceptual level</w:t>
            </w:r>
            <w:r w:rsidR="00E918E9" w:rsidRPr="00666C71">
              <w:rPr>
                <w:szCs w:val="21"/>
              </w:rPr>
              <w:t>的工作（</w:t>
            </w:r>
            <w:r w:rsidR="00E918E9" w:rsidRPr="00666C71">
              <w:t>Wang et al., Journal of Neuroscience 2016</w:t>
            </w:r>
            <w:r w:rsidR="00E918E9" w:rsidRPr="00666C71">
              <w:t>）</w:t>
            </w:r>
            <w:r w:rsidR="00E918E9" w:rsidRPr="00666C71">
              <w:rPr>
                <w:szCs w:val="21"/>
              </w:rPr>
              <w:t>。</w:t>
            </w: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p w:rsidR="00A6789D" w:rsidRPr="00666C71" w:rsidRDefault="00A6789D" w:rsidP="00AE16CD">
            <w:pPr>
              <w:rPr>
                <w:szCs w:val="21"/>
              </w:rPr>
            </w:pPr>
          </w:p>
        </w:tc>
      </w:tr>
    </w:tbl>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29"/>
        <w:gridCol w:w="3478"/>
        <w:gridCol w:w="709"/>
        <w:gridCol w:w="1305"/>
        <w:gridCol w:w="821"/>
        <w:gridCol w:w="851"/>
      </w:tblGrid>
      <w:tr w:rsidR="00B31508" w:rsidRPr="006207A2" w:rsidTr="00B52BD7">
        <w:trPr>
          <w:trHeight w:val="460"/>
        </w:trPr>
        <w:tc>
          <w:tcPr>
            <w:tcW w:w="529" w:type="dxa"/>
            <w:vMerge w:val="restart"/>
            <w:vAlign w:val="center"/>
          </w:tcPr>
          <w:p w:rsidR="00B31508" w:rsidRPr="006207A2" w:rsidRDefault="00B31508" w:rsidP="00B31508">
            <w:pPr>
              <w:spacing w:line="300" w:lineRule="exact"/>
              <w:jc w:val="center"/>
              <w:rPr>
                <w:szCs w:val="21"/>
              </w:rPr>
            </w:pPr>
            <w:r w:rsidRPr="006207A2">
              <w:rPr>
                <w:szCs w:val="21"/>
              </w:rPr>
              <w:lastRenderedPageBreak/>
              <w:t>代表性论文专著目录</w:t>
            </w:r>
          </w:p>
        </w:tc>
        <w:tc>
          <w:tcPr>
            <w:tcW w:w="529" w:type="dxa"/>
            <w:vAlign w:val="center"/>
          </w:tcPr>
          <w:p w:rsidR="00B31508" w:rsidRPr="006207A2" w:rsidRDefault="00B31508" w:rsidP="00B52BD7">
            <w:pPr>
              <w:pStyle w:val="a4"/>
              <w:ind w:firstLineChars="0" w:firstLine="0"/>
              <w:jc w:val="center"/>
              <w:rPr>
                <w:rFonts w:ascii="Times New Roman" w:hAnsi="Times New Roman" w:cs="Times New Roman"/>
                <w:sz w:val="21"/>
                <w:szCs w:val="21"/>
              </w:rPr>
            </w:pPr>
            <w:r w:rsidRPr="006207A2">
              <w:rPr>
                <w:rFonts w:ascii="Times New Roman" w:hAnsi="Times New Roman" w:cs="Times New Roman"/>
                <w:sz w:val="21"/>
                <w:szCs w:val="21"/>
              </w:rPr>
              <w:t>序号</w:t>
            </w:r>
          </w:p>
        </w:tc>
        <w:tc>
          <w:tcPr>
            <w:tcW w:w="3478" w:type="dxa"/>
            <w:vAlign w:val="center"/>
          </w:tcPr>
          <w:p w:rsidR="00B31508" w:rsidRPr="006207A2" w:rsidRDefault="00B31508" w:rsidP="00B52BD7">
            <w:pPr>
              <w:pStyle w:val="a4"/>
              <w:ind w:firstLine="420"/>
              <w:jc w:val="center"/>
              <w:rPr>
                <w:rFonts w:ascii="Times New Roman" w:hAnsi="Times New Roman" w:cs="Times New Roman"/>
                <w:sz w:val="21"/>
                <w:szCs w:val="21"/>
              </w:rPr>
            </w:pPr>
            <w:r w:rsidRPr="006207A2">
              <w:rPr>
                <w:rFonts w:ascii="Times New Roman" w:hAnsi="Times New Roman" w:cs="Times New Roman"/>
                <w:sz w:val="21"/>
                <w:szCs w:val="21"/>
              </w:rPr>
              <w:t>论文、专著</w:t>
            </w:r>
          </w:p>
          <w:p w:rsidR="00B31508" w:rsidRPr="006207A2" w:rsidRDefault="00B31508" w:rsidP="00B52BD7">
            <w:pPr>
              <w:pStyle w:val="a4"/>
              <w:ind w:firstLine="420"/>
              <w:jc w:val="center"/>
              <w:rPr>
                <w:rFonts w:ascii="Times New Roman" w:hAnsi="Times New Roman" w:cs="Times New Roman"/>
                <w:sz w:val="21"/>
                <w:szCs w:val="21"/>
              </w:rPr>
            </w:pPr>
            <w:r w:rsidRPr="006207A2">
              <w:rPr>
                <w:rFonts w:ascii="Times New Roman" w:hAnsi="Times New Roman" w:cs="Times New Roman"/>
                <w:sz w:val="21"/>
                <w:szCs w:val="21"/>
              </w:rPr>
              <w:t>名称</w:t>
            </w:r>
            <w:r w:rsidRPr="006207A2">
              <w:rPr>
                <w:rFonts w:ascii="Times New Roman" w:hAnsi="Times New Roman" w:cs="Times New Roman"/>
                <w:sz w:val="21"/>
                <w:szCs w:val="21"/>
              </w:rPr>
              <w:t>/</w:t>
            </w:r>
            <w:r w:rsidRPr="006207A2">
              <w:rPr>
                <w:rFonts w:ascii="Times New Roman" w:hAnsi="Times New Roman" w:cs="Times New Roman"/>
                <w:sz w:val="21"/>
                <w:szCs w:val="21"/>
              </w:rPr>
              <w:t>刊名</w:t>
            </w:r>
            <w:r w:rsidRPr="006207A2">
              <w:rPr>
                <w:rFonts w:ascii="Times New Roman" w:hAnsi="Times New Roman" w:cs="Times New Roman"/>
                <w:sz w:val="21"/>
                <w:szCs w:val="21"/>
              </w:rPr>
              <w:t>/</w:t>
            </w:r>
            <w:r w:rsidRPr="006207A2">
              <w:rPr>
                <w:rFonts w:ascii="Times New Roman" w:hAnsi="Times New Roman" w:cs="Times New Roman"/>
                <w:sz w:val="21"/>
                <w:szCs w:val="21"/>
              </w:rPr>
              <w:t>作者</w:t>
            </w:r>
          </w:p>
        </w:tc>
        <w:tc>
          <w:tcPr>
            <w:tcW w:w="709" w:type="dxa"/>
            <w:vAlign w:val="center"/>
          </w:tcPr>
          <w:p w:rsidR="00B31508" w:rsidRPr="006207A2" w:rsidRDefault="00B31508" w:rsidP="00B52BD7">
            <w:pPr>
              <w:pStyle w:val="a4"/>
              <w:ind w:firstLineChars="0" w:firstLine="0"/>
              <w:jc w:val="center"/>
              <w:rPr>
                <w:rFonts w:ascii="Times New Roman" w:hAnsi="Times New Roman" w:cs="Times New Roman"/>
                <w:sz w:val="21"/>
                <w:szCs w:val="21"/>
              </w:rPr>
            </w:pPr>
            <w:r w:rsidRPr="006207A2">
              <w:rPr>
                <w:rFonts w:ascii="Times New Roman" w:hAnsi="Times New Roman" w:cs="Times New Roman"/>
                <w:sz w:val="21"/>
                <w:szCs w:val="21"/>
              </w:rPr>
              <w:t>影响因子</w:t>
            </w:r>
          </w:p>
        </w:tc>
        <w:tc>
          <w:tcPr>
            <w:tcW w:w="1305" w:type="dxa"/>
            <w:vAlign w:val="center"/>
          </w:tcPr>
          <w:p w:rsidR="00B31508" w:rsidRPr="006207A2" w:rsidRDefault="00B31508" w:rsidP="00B52BD7">
            <w:pPr>
              <w:pStyle w:val="a4"/>
              <w:ind w:firstLineChars="0" w:firstLine="0"/>
              <w:jc w:val="center"/>
              <w:rPr>
                <w:rFonts w:ascii="Times New Roman" w:hAnsi="Times New Roman" w:cs="Times New Roman"/>
                <w:sz w:val="21"/>
                <w:szCs w:val="21"/>
              </w:rPr>
            </w:pPr>
            <w:r w:rsidRPr="006207A2">
              <w:rPr>
                <w:rFonts w:ascii="Times New Roman" w:hAnsi="Times New Roman" w:cs="Times New Roman"/>
                <w:sz w:val="21"/>
                <w:szCs w:val="21"/>
              </w:rPr>
              <w:t>年卷页码</w:t>
            </w:r>
          </w:p>
          <w:p w:rsidR="00B31508" w:rsidRPr="006207A2" w:rsidRDefault="00B31508" w:rsidP="00B52BD7">
            <w:pPr>
              <w:pStyle w:val="a4"/>
              <w:ind w:firstLineChars="0" w:firstLine="0"/>
              <w:jc w:val="center"/>
              <w:rPr>
                <w:rFonts w:ascii="Times New Roman" w:hAnsi="Times New Roman" w:cs="Times New Roman"/>
                <w:sz w:val="21"/>
                <w:szCs w:val="21"/>
              </w:rPr>
            </w:pPr>
            <w:r w:rsidRPr="006207A2">
              <w:rPr>
                <w:rFonts w:ascii="Times New Roman" w:hAnsi="Times New Roman" w:cs="Times New Roman"/>
                <w:sz w:val="21"/>
                <w:szCs w:val="21"/>
              </w:rPr>
              <w:t>年</w:t>
            </w:r>
            <w:r w:rsidRPr="006207A2">
              <w:rPr>
                <w:rFonts w:ascii="Times New Roman" w:hAnsi="Times New Roman" w:cs="Times New Roman"/>
                <w:sz w:val="21"/>
                <w:szCs w:val="21"/>
              </w:rPr>
              <w:t>(</w:t>
            </w:r>
            <w:r w:rsidRPr="006207A2">
              <w:rPr>
                <w:rFonts w:ascii="Times New Roman" w:hAnsi="Times New Roman" w:cs="Times New Roman"/>
                <w:sz w:val="21"/>
                <w:szCs w:val="21"/>
              </w:rPr>
              <w:t>卷</w:t>
            </w:r>
            <w:r w:rsidRPr="006207A2">
              <w:rPr>
                <w:rFonts w:ascii="Times New Roman" w:hAnsi="Times New Roman" w:cs="Times New Roman"/>
                <w:sz w:val="21"/>
                <w:szCs w:val="21"/>
              </w:rPr>
              <w:t>):</w:t>
            </w:r>
            <w:r w:rsidRPr="006207A2">
              <w:rPr>
                <w:rFonts w:ascii="Times New Roman" w:hAnsi="Times New Roman" w:cs="Times New Roman"/>
                <w:sz w:val="21"/>
                <w:szCs w:val="21"/>
              </w:rPr>
              <w:t>页码</w:t>
            </w:r>
          </w:p>
        </w:tc>
        <w:tc>
          <w:tcPr>
            <w:tcW w:w="821" w:type="dxa"/>
            <w:vAlign w:val="center"/>
          </w:tcPr>
          <w:p w:rsidR="00B31508" w:rsidRPr="006207A2" w:rsidRDefault="00B31508" w:rsidP="00B52BD7">
            <w:pPr>
              <w:pStyle w:val="a4"/>
              <w:ind w:firstLineChars="0" w:firstLine="0"/>
              <w:jc w:val="center"/>
              <w:rPr>
                <w:rFonts w:ascii="Times New Roman" w:hAnsi="Times New Roman" w:cs="Times New Roman"/>
                <w:sz w:val="21"/>
                <w:szCs w:val="21"/>
              </w:rPr>
            </w:pPr>
            <w:r w:rsidRPr="006207A2">
              <w:rPr>
                <w:rFonts w:ascii="Times New Roman" w:hAnsi="Times New Roman" w:cs="Times New Roman"/>
                <w:sz w:val="21"/>
                <w:szCs w:val="21"/>
              </w:rPr>
              <w:t>发表年月</w:t>
            </w:r>
          </w:p>
        </w:tc>
        <w:tc>
          <w:tcPr>
            <w:tcW w:w="851" w:type="dxa"/>
            <w:vAlign w:val="center"/>
          </w:tcPr>
          <w:p w:rsidR="00B31508" w:rsidRPr="006207A2" w:rsidRDefault="00B31508" w:rsidP="00B52BD7">
            <w:pPr>
              <w:pStyle w:val="a4"/>
              <w:ind w:firstLineChars="0" w:firstLine="0"/>
              <w:jc w:val="center"/>
              <w:rPr>
                <w:rFonts w:ascii="Times New Roman" w:hAnsi="Times New Roman" w:cs="Times New Roman"/>
                <w:sz w:val="21"/>
                <w:szCs w:val="21"/>
              </w:rPr>
            </w:pPr>
            <w:r w:rsidRPr="006207A2">
              <w:rPr>
                <w:rFonts w:ascii="Times New Roman" w:hAnsi="Times New Roman" w:cs="Times New Roman"/>
                <w:sz w:val="21"/>
                <w:szCs w:val="21"/>
              </w:rPr>
              <w:t>是否国内完成</w:t>
            </w:r>
          </w:p>
        </w:tc>
      </w:tr>
      <w:tr w:rsidR="00D60784" w:rsidRPr="006207A2" w:rsidTr="00B52BD7">
        <w:trPr>
          <w:trHeight w:val="622"/>
        </w:trPr>
        <w:tc>
          <w:tcPr>
            <w:tcW w:w="529" w:type="dxa"/>
            <w:vMerge/>
          </w:tcPr>
          <w:p w:rsidR="00D60784" w:rsidRPr="006207A2" w:rsidRDefault="00D60784" w:rsidP="00D60784">
            <w:pPr>
              <w:pStyle w:val="a4"/>
              <w:ind w:firstLineChars="0" w:firstLine="0"/>
              <w:jc w:val="center"/>
              <w:rPr>
                <w:rFonts w:ascii="Times New Roman" w:hAnsi="Times New Roman" w:cs="Times New Roman"/>
                <w:sz w:val="18"/>
                <w:szCs w:val="18"/>
              </w:rPr>
            </w:pPr>
          </w:p>
        </w:tc>
        <w:tc>
          <w:tcPr>
            <w:tcW w:w="529"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1</w:t>
            </w:r>
          </w:p>
        </w:tc>
        <w:tc>
          <w:tcPr>
            <w:tcW w:w="3478"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Perceptual training continuously refines neuronal population codes in primary visual cortex./Nat Neurosci/ Yan, Y., M. J. Rasch, M. Chen, X. Xiang, M. Huang, S. Wu and W. Li</w:t>
            </w:r>
          </w:p>
        </w:tc>
        <w:tc>
          <w:tcPr>
            <w:tcW w:w="709"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color w:val="333333"/>
                <w:sz w:val="20"/>
                <w:shd w:val="clear" w:color="auto" w:fill="FFFFFF"/>
              </w:rPr>
              <w:t>18.158</w:t>
            </w:r>
          </w:p>
        </w:tc>
        <w:tc>
          <w:tcPr>
            <w:tcW w:w="1305"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2014(17): 1380-1387</w:t>
            </w:r>
          </w:p>
        </w:tc>
        <w:tc>
          <w:tcPr>
            <w:tcW w:w="821"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2014.10</w:t>
            </w:r>
          </w:p>
        </w:tc>
        <w:tc>
          <w:tcPr>
            <w:tcW w:w="851"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D60784" w:rsidRPr="006207A2" w:rsidTr="00B52BD7">
        <w:trPr>
          <w:trHeight w:val="622"/>
        </w:trPr>
        <w:tc>
          <w:tcPr>
            <w:tcW w:w="529" w:type="dxa"/>
            <w:vMerge/>
          </w:tcPr>
          <w:p w:rsidR="00D60784" w:rsidRPr="006207A2" w:rsidRDefault="00D60784" w:rsidP="00D60784">
            <w:pPr>
              <w:pStyle w:val="a4"/>
              <w:ind w:firstLineChars="0" w:firstLine="0"/>
              <w:jc w:val="center"/>
              <w:rPr>
                <w:rFonts w:ascii="Times New Roman" w:hAnsi="Times New Roman" w:cs="Times New Roman"/>
                <w:sz w:val="18"/>
                <w:szCs w:val="18"/>
              </w:rPr>
            </w:pPr>
          </w:p>
        </w:tc>
        <w:tc>
          <w:tcPr>
            <w:tcW w:w="529"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2</w:t>
            </w:r>
          </w:p>
        </w:tc>
        <w:tc>
          <w:tcPr>
            <w:tcW w:w="3478"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Incremental integration of global contours through interplay between visual cortical areas./Neuron/ Chen, M., Y. Yan, X. Gong, C. D. Gilbert, H. Liang and W. Li</w:t>
            </w:r>
          </w:p>
        </w:tc>
        <w:tc>
          <w:tcPr>
            <w:tcW w:w="709"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color w:val="333333"/>
                <w:sz w:val="20"/>
                <w:shd w:val="clear" w:color="auto" w:fill="FFFFFF"/>
              </w:rPr>
              <w:t>14.106</w:t>
            </w:r>
          </w:p>
        </w:tc>
        <w:tc>
          <w:tcPr>
            <w:tcW w:w="1305"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2014(82): 682-694</w:t>
            </w:r>
          </w:p>
        </w:tc>
        <w:tc>
          <w:tcPr>
            <w:tcW w:w="821"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2014.5</w:t>
            </w:r>
          </w:p>
        </w:tc>
        <w:tc>
          <w:tcPr>
            <w:tcW w:w="851" w:type="dxa"/>
            <w:vAlign w:val="center"/>
          </w:tcPr>
          <w:p w:rsidR="00D60784" w:rsidRPr="002F086C" w:rsidRDefault="00D60784"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A57A89" w:rsidRPr="006207A2" w:rsidTr="00B52BD7">
        <w:trPr>
          <w:trHeight w:val="622"/>
        </w:trPr>
        <w:tc>
          <w:tcPr>
            <w:tcW w:w="529" w:type="dxa"/>
            <w:vMerge/>
          </w:tcPr>
          <w:p w:rsidR="00A57A89" w:rsidRPr="006207A2" w:rsidRDefault="00A57A89" w:rsidP="00A57A89">
            <w:pPr>
              <w:pStyle w:val="a4"/>
              <w:ind w:firstLineChars="0" w:firstLine="0"/>
              <w:jc w:val="center"/>
              <w:rPr>
                <w:rFonts w:ascii="Times New Roman" w:hAnsi="Times New Roman" w:cs="Times New Roman"/>
                <w:sz w:val="18"/>
                <w:szCs w:val="18"/>
              </w:rPr>
            </w:pPr>
          </w:p>
        </w:tc>
        <w:tc>
          <w:tcPr>
            <w:tcW w:w="529" w:type="dxa"/>
            <w:vAlign w:val="center"/>
          </w:tcPr>
          <w:p w:rsidR="00A57A89" w:rsidRPr="002F086C" w:rsidRDefault="00A57A89"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3</w:t>
            </w:r>
          </w:p>
        </w:tc>
        <w:tc>
          <w:tcPr>
            <w:tcW w:w="3478" w:type="dxa"/>
            <w:vAlign w:val="center"/>
          </w:tcPr>
          <w:p w:rsidR="00A57A89" w:rsidRPr="002F086C" w:rsidRDefault="00A57A89"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Spatiotemporal Neural Pattern Similarity Supports Episodic Memory./Curr Biol/ Lu, Y., C. M. Wang, C. S. Chen and G. Xue</w:t>
            </w:r>
          </w:p>
        </w:tc>
        <w:tc>
          <w:tcPr>
            <w:tcW w:w="709" w:type="dxa"/>
            <w:vAlign w:val="center"/>
          </w:tcPr>
          <w:p w:rsidR="00A57A89" w:rsidRPr="002F086C" w:rsidRDefault="00A57A89"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9.028</w:t>
            </w:r>
          </w:p>
        </w:tc>
        <w:tc>
          <w:tcPr>
            <w:tcW w:w="1305" w:type="dxa"/>
            <w:vAlign w:val="center"/>
          </w:tcPr>
          <w:p w:rsidR="00A57A89" w:rsidRPr="002F086C" w:rsidRDefault="00A57A89"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2015(25): 780–785.</w:t>
            </w:r>
          </w:p>
        </w:tc>
        <w:tc>
          <w:tcPr>
            <w:tcW w:w="821" w:type="dxa"/>
            <w:vAlign w:val="center"/>
          </w:tcPr>
          <w:p w:rsidR="00A57A89" w:rsidRPr="002F086C" w:rsidRDefault="00A57A89"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2015.2</w:t>
            </w:r>
          </w:p>
        </w:tc>
        <w:tc>
          <w:tcPr>
            <w:tcW w:w="851" w:type="dxa"/>
            <w:vAlign w:val="center"/>
          </w:tcPr>
          <w:p w:rsidR="00A57A89" w:rsidRPr="002F086C" w:rsidRDefault="00A57A89"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2F086C" w:rsidRPr="006207A2" w:rsidTr="00B52BD7">
        <w:trPr>
          <w:trHeight w:val="622"/>
        </w:trPr>
        <w:tc>
          <w:tcPr>
            <w:tcW w:w="529" w:type="dxa"/>
            <w:vMerge/>
          </w:tcPr>
          <w:p w:rsidR="002F086C" w:rsidRPr="006207A2" w:rsidRDefault="002F086C" w:rsidP="002F086C">
            <w:pPr>
              <w:pStyle w:val="a4"/>
              <w:ind w:firstLineChars="0" w:firstLine="0"/>
              <w:jc w:val="center"/>
              <w:rPr>
                <w:rFonts w:ascii="Times New Roman" w:hAnsi="Times New Roman" w:cs="Times New Roman"/>
                <w:sz w:val="18"/>
                <w:szCs w:val="18"/>
              </w:rPr>
            </w:pPr>
          </w:p>
        </w:tc>
        <w:tc>
          <w:tcPr>
            <w:tcW w:w="52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4</w:t>
            </w:r>
          </w:p>
        </w:tc>
        <w:tc>
          <w:tcPr>
            <w:tcW w:w="3478"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Bottom-up and top-down influences at untrained conditions determine perceptual learning specificity and transfer/eLife/ Xiong, Y.-Z., J.-Y. Zhang and C. Yu</w:t>
            </w:r>
          </w:p>
        </w:tc>
        <w:tc>
          <w:tcPr>
            <w:tcW w:w="70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7.874</w:t>
            </w:r>
          </w:p>
        </w:tc>
        <w:tc>
          <w:tcPr>
            <w:tcW w:w="1305"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2016(5):e14614</w:t>
            </w:r>
          </w:p>
        </w:tc>
        <w:tc>
          <w:tcPr>
            <w:tcW w:w="82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2016.6</w:t>
            </w:r>
          </w:p>
        </w:tc>
        <w:tc>
          <w:tcPr>
            <w:tcW w:w="85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2F086C" w:rsidRPr="006207A2" w:rsidTr="00B52BD7">
        <w:trPr>
          <w:trHeight w:val="622"/>
        </w:trPr>
        <w:tc>
          <w:tcPr>
            <w:tcW w:w="529" w:type="dxa"/>
            <w:vMerge/>
          </w:tcPr>
          <w:p w:rsidR="002F086C" w:rsidRPr="006207A2" w:rsidRDefault="002F086C" w:rsidP="002F086C">
            <w:pPr>
              <w:pStyle w:val="a4"/>
              <w:ind w:firstLineChars="0" w:firstLine="0"/>
              <w:jc w:val="center"/>
              <w:rPr>
                <w:rFonts w:ascii="Times New Roman" w:hAnsi="Times New Roman" w:cs="Times New Roman"/>
                <w:sz w:val="18"/>
                <w:szCs w:val="18"/>
              </w:rPr>
            </w:pPr>
          </w:p>
        </w:tc>
        <w:tc>
          <w:tcPr>
            <w:tcW w:w="52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5</w:t>
            </w:r>
          </w:p>
        </w:tc>
        <w:tc>
          <w:tcPr>
            <w:tcW w:w="3478"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Complementary Role of Frontoparietal Activity and Cortical Pattern Similarity in Successful</w:t>
            </w:r>
          </w:p>
          <w:p w:rsidR="002F086C" w:rsidRPr="002F086C" w:rsidRDefault="002F086C" w:rsidP="00BB2F87">
            <w:pPr>
              <w:pStyle w:val="a4"/>
              <w:adjustRightInd w:val="0"/>
              <w:snapToGrid w:val="0"/>
              <w:spacing w:line="240" w:lineRule="auto"/>
              <w:ind w:firstLineChars="0" w:firstLine="0"/>
              <w:jc w:val="center"/>
              <w:outlineLvl w:val="1"/>
              <w:rPr>
                <w:rFonts w:ascii="Times New Roman" w:hAnsi="Times New Roman" w:cs="Times New Roman"/>
                <w:sz w:val="20"/>
                <w:szCs w:val="18"/>
              </w:rPr>
            </w:pPr>
            <w:r w:rsidRPr="002F086C">
              <w:rPr>
                <w:rFonts w:ascii="Times New Roman" w:hAnsi="Times New Roman" w:cs="Times New Roman"/>
                <w:sz w:val="20"/>
              </w:rPr>
              <w:t>Episodic Memory Encoding/Cereb Cortex/Xue, G., Q. Dong, C. S. Chen, Z. L. Lu, J. A. Mumford and R. A. Poldrack</w:t>
            </w:r>
          </w:p>
        </w:tc>
        <w:tc>
          <w:tcPr>
            <w:tcW w:w="70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color w:val="333333"/>
                <w:sz w:val="20"/>
                <w:shd w:val="clear" w:color="auto" w:fill="FFFFFF"/>
              </w:rPr>
              <w:t>7.051</w:t>
            </w:r>
          </w:p>
        </w:tc>
        <w:tc>
          <w:tcPr>
            <w:tcW w:w="1305"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2013(23): 1562–71.</w:t>
            </w:r>
          </w:p>
        </w:tc>
        <w:tc>
          <w:tcPr>
            <w:tcW w:w="82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2013.7</w:t>
            </w:r>
          </w:p>
        </w:tc>
        <w:tc>
          <w:tcPr>
            <w:tcW w:w="85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2F086C" w:rsidRPr="006207A2" w:rsidTr="00B52BD7">
        <w:trPr>
          <w:trHeight w:val="622"/>
        </w:trPr>
        <w:tc>
          <w:tcPr>
            <w:tcW w:w="529" w:type="dxa"/>
            <w:vMerge/>
          </w:tcPr>
          <w:p w:rsidR="002F086C" w:rsidRPr="006207A2" w:rsidRDefault="002F086C" w:rsidP="002F086C">
            <w:pPr>
              <w:pStyle w:val="a4"/>
              <w:ind w:firstLineChars="0" w:firstLine="0"/>
              <w:jc w:val="center"/>
              <w:rPr>
                <w:rFonts w:ascii="Times New Roman" w:hAnsi="Times New Roman" w:cs="Times New Roman"/>
                <w:sz w:val="18"/>
                <w:szCs w:val="18"/>
              </w:rPr>
            </w:pPr>
          </w:p>
        </w:tc>
        <w:tc>
          <w:tcPr>
            <w:tcW w:w="52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6</w:t>
            </w:r>
          </w:p>
        </w:tc>
        <w:tc>
          <w:tcPr>
            <w:tcW w:w="3478"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Perceptual Learning at a Conceptual Level./J Neurosci/ Wang, R., J. Wang, J.-Y. Zhang, X.-Y. Xie, Y.-X. Yang, S.-H. Luo, C. Yu and W. Li</w:t>
            </w:r>
          </w:p>
        </w:tc>
        <w:tc>
          <w:tcPr>
            <w:tcW w:w="70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color w:val="333333"/>
                <w:sz w:val="20"/>
                <w:shd w:val="clear" w:color="auto" w:fill="FFFFFF"/>
              </w:rPr>
              <w:t>5.961</w:t>
            </w:r>
          </w:p>
        </w:tc>
        <w:tc>
          <w:tcPr>
            <w:tcW w:w="1305"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2016(36): 2238-2246</w:t>
            </w:r>
          </w:p>
        </w:tc>
        <w:tc>
          <w:tcPr>
            <w:tcW w:w="82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2016.2</w:t>
            </w:r>
          </w:p>
        </w:tc>
        <w:tc>
          <w:tcPr>
            <w:tcW w:w="85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2F086C" w:rsidRPr="006207A2" w:rsidTr="00B52BD7">
        <w:trPr>
          <w:trHeight w:val="622"/>
        </w:trPr>
        <w:tc>
          <w:tcPr>
            <w:tcW w:w="529" w:type="dxa"/>
            <w:vMerge/>
          </w:tcPr>
          <w:p w:rsidR="002F086C" w:rsidRPr="006207A2" w:rsidRDefault="002F086C" w:rsidP="002F086C">
            <w:pPr>
              <w:pStyle w:val="a4"/>
              <w:ind w:firstLineChars="0" w:firstLine="0"/>
              <w:jc w:val="center"/>
              <w:rPr>
                <w:rFonts w:ascii="Times New Roman" w:hAnsi="Times New Roman" w:cs="Times New Roman"/>
                <w:sz w:val="18"/>
                <w:szCs w:val="18"/>
              </w:rPr>
            </w:pPr>
          </w:p>
        </w:tc>
        <w:tc>
          <w:tcPr>
            <w:tcW w:w="52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7</w:t>
            </w:r>
          </w:p>
        </w:tc>
        <w:tc>
          <w:tcPr>
            <w:tcW w:w="3478"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Modulation of neuronal responses by exogenous attention in macaque primary visual cortex./J Neurosci/ Wang, F., M. Chen, Y. Yan, L. Zhaoping and W. Li</w:t>
            </w:r>
          </w:p>
        </w:tc>
        <w:tc>
          <w:tcPr>
            <w:tcW w:w="70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color w:val="333333"/>
                <w:sz w:val="20"/>
                <w:shd w:val="clear" w:color="auto" w:fill="FFFFFF"/>
              </w:rPr>
              <w:t>5.961</w:t>
            </w:r>
          </w:p>
        </w:tc>
        <w:tc>
          <w:tcPr>
            <w:tcW w:w="1305"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2015(35): 13419-13429</w:t>
            </w:r>
          </w:p>
        </w:tc>
        <w:tc>
          <w:tcPr>
            <w:tcW w:w="82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2015.9</w:t>
            </w:r>
          </w:p>
        </w:tc>
        <w:tc>
          <w:tcPr>
            <w:tcW w:w="85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r w:rsidR="002F086C" w:rsidRPr="006207A2" w:rsidTr="00B52BD7">
        <w:trPr>
          <w:trHeight w:val="622"/>
        </w:trPr>
        <w:tc>
          <w:tcPr>
            <w:tcW w:w="529" w:type="dxa"/>
            <w:vMerge/>
          </w:tcPr>
          <w:p w:rsidR="002F086C" w:rsidRPr="006207A2" w:rsidRDefault="002F086C" w:rsidP="002F086C">
            <w:pPr>
              <w:pStyle w:val="a4"/>
              <w:ind w:firstLineChars="0" w:firstLine="0"/>
              <w:jc w:val="center"/>
              <w:rPr>
                <w:rFonts w:ascii="Times New Roman" w:hAnsi="Times New Roman" w:cs="Times New Roman"/>
                <w:sz w:val="18"/>
                <w:szCs w:val="18"/>
              </w:rPr>
            </w:pPr>
          </w:p>
        </w:tc>
        <w:tc>
          <w:tcPr>
            <w:tcW w:w="52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8</w:t>
            </w:r>
          </w:p>
        </w:tc>
        <w:tc>
          <w:tcPr>
            <w:tcW w:w="3478" w:type="dxa"/>
            <w:vAlign w:val="center"/>
          </w:tcPr>
          <w:p w:rsidR="002F086C" w:rsidRPr="002F086C" w:rsidRDefault="002F086C" w:rsidP="00BB2F87">
            <w:pPr>
              <w:adjustRightInd w:val="0"/>
              <w:snapToGrid w:val="0"/>
              <w:jc w:val="center"/>
              <w:outlineLvl w:val="1"/>
              <w:rPr>
                <w:sz w:val="20"/>
                <w:szCs w:val="18"/>
              </w:rPr>
            </w:pPr>
            <w:r w:rsidRPr="002F086C">
              <w:rPr>
                <w:sz w:val="20"/>
              </w:rPr>
              <w:t>Predicting perceptual learning from higher-order cortical processing./Neuroimage/Wang, F., J. Huang, Y. Lv, X. Ma, B. Yang, E. Wang, B. Du, W. Li and Y. Song</w:t>
            </w:r>
          </w:p>
        </w:tc>
        <w:tc>
          <w:tcPr>
            <w:tcW w:w="709"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color w:val="333333"/>
                <w:sz w:val="20"/>
                <w:shd w:val="clear" w:color="auto" w:fill="FFFFFF"/>
              </w:rPr>
              <w:t>5.575</w:t>
            </w:r>
          </w:p>
        </w:tc>
        <w:tc>
          <w:tcPr>
            <w:tcW w:w="1305"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rPr>
            </w:pPr>
            <w:r w:rsidRPr="002F086C">
              <w:rPr>
                <w:rFonts w:ascii="Times New Roman" w:hAnsi="Times New Roman" w:cs="Times New Roman"/>
                <w:sz w:val="20"/>
              </w:rPr>
              <w:t>2016(124): 682-692</w:t>
            </w:r>
          </w:p>
        </w:tc>
        <w:tc>
          <w:tcPr>
            <w:tcW w:w="82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rPr>
              <w:t>2016.1</w:t>
            </w:r>
          </w:p>
        </w:tc>
        <w:tc>
          <w:tcPr>
            <w:tcW w:w="851" w:type="dxa"/>
            <w:vAlign w:val="center"/>
          </w:tcPr>
          <w:p w:rsidR="002F086C" w:rsidRPr="002F086C" w:rsidRDefault="002F086C" w:rsidP="00BB2F87">
            <w:pPr>
              <w:pStyle w:val="a4"/>
              <w:spacing w:line="240" w:lineRule="auto"/>
              <w:ind w:firstLineChars="0" w:firstLine="0"/>
              <w:jc w:val="center"/>
              <w:rPr>
                <w:rFonts w:ascii="Times New Roman" w:hAnsi="Times New Roman" w:cs="Times New Roman"/>
                <w:sz w:val="20"/>
                <w:szCs w:val="18"/>
              </w:rPr>
            </w:pPr>
            <w:r w:rsidRPr="002F086C">
              <w:rPr>
                <w:rFonts w:ascii="Times New Roman" w:hAnsi="Times New Roman" w:cs="Times New Roman"/>
                <w:sz w:val="20"/>
                <w:szCs w:val="18"/>
              </w:rPr>
              <w:t>是</w:t>
            </w:r>
          </w:p>
        </w:tc>
      </w:tr>
    </w:tbl>
    <w:p w:rsidR="007B2022" w:rsidRDefault="007B2022"/>
    <w:p w:rsidR="003E1B09" w:rsidRPr="006207A2" w:rsidRDefault="003E1B09"/>
    <w:sectPr w:rsidR="003E1B09" w:rsidRPr="006207A2" w:rsidSect="007B2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E3" w:rsidRDefault="000817E3" w:rsidP="00D614ED">
      <w:r>
        <w:separator/>
      </w:r>
    </w:p>
  </w:endnote>
  <w:endnote w:type="continuationSeparator" w:id="0">
    <w:p w:rsidR="000817E3" w:rsidRDefault="000817E3" w:rsidP="00D6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E3" w:rsidRDefault="000817E3" w:rsidP="00D614ED">
      <w:r>
        <w:separator/>
      </w:r>
    </w:p>
  </w:footnote>
  <w:footnote w:type="continuationSeparator" w:id="0">
    <w:p w:rsidR="000817E3" w:rsidRDefault="000817E3" w:rsidP="00D6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7D5B"/>
    <w:multiLevelType w:val="hybridMultilevel"/>
    <w:tmpl w:val="CB005F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DD65F4"/>
    <w:multiLevelType w:val="hybridMultilevel"/>
    <w:tmpl w:val="FEE8C02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982AE47"/>
    <w:multiLevelType w:val="singleLevel"/>
    <w:tmpl w:val="4982AE47"/>
    <w:lvl w:ilvl="0">
      <w:start w:val="1"/>
      <w:numFmt w:val="decimal"/>
      <w:suff w:val="nothing"/>
      <w:lvlText w:val="%1、"/>
      <w:lvlJc w:val="left"/>
    </w:lvl>
  </w:abstractNum>
  <w:abstractNum w:abstractNumId="3" w15:restartNumberingAfterBreak="0">
    <w:nsid w:val="59DD27AA"/>
    <w:multiLevelType w:val="singleLevel"/>
    <w:tmpl w:val="59DD27AA"/>
    <w:lvl w:ilvl="0">
      <w:start w:val="1"/>
      <w:numFmt w:val="decimal"/>
      <w:suff w:val="nothing"/>
      <w:lvlText w:val="%1、"/>
      <w:lvlJc w:val="left"/>
    </w:lvl>
  </w:abstractNum>
  <w:abstractNum w:abstractNumId="4" w15:restartNumberingAfterBreak="0">
    <w:nsid w:val="5B982C86"/>
    <w:multiLevelType w:val="hybridMultilevel"/>
    <w:tmpl w:val="7A94EB8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ECA4E9F"/>
    <w:multiLevelType w:val="hybridMultilevel"/>
    <w:tmpl w:val="C05ABD0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5D"/>
    <w:rsid w:val="00022492"/>
    <w:rsid w:val="000549E6"/>
    <w:rsid w:val="000817E3"/>
    <w:rsid w:val="000934E3"/>
    <w:rsid w:val="00105306"/>
    <w:rsid w:val="001060F0"/>
    <w:rsid w:val="0015468C"/>
    <w:rsid w:val="001B57C7"/>
    <w:rsid w:val="00206DF3"/>
    <w:rsid w:val="00224E75"/>
    <w:rsid w:val="002F086C"/>
    <w:rsid w:val="002F10A4"/>
    <w:rsid w:val="003348F4"/>
    <w:rsid w:val="003967A5"/>
    <w:rsid w:val="003B1A24"/>
    <w:rsid w:val="003B5335"/>
    <w:rsid w:val="003E1B09"/>
    <w:rsid w:val="00404EC1"/>
    <w:rsid w:val="00434E0F"/>
    <w:rsid w:val="00467889"/>
    <w:rsid w:val="004C1523"/>
    <w:rsid w:val="004F03EE"/>
    <w:rsid w:val="004F1DB2"/>
    <w:rsid w:val="005544BA"/>
    <w:rsid w:val="00570206"/>
    <w:rsid w:val="0058665A"/>
    <w:rsid w:val="00596E9B"/>
    <w:rsid w:val="00604903"/>
    <w:rsid w:val="00613681"/>
    <w:rsid w:val="006207A2"/>
    <w:rsid w:val="006441FF"/>
    <w:rsid w:val="00666C71"/>
    <w:rsid w:val="006A6273"/>
    <w:rsid w:val="007155C4"/>
    <w:rsid w:val="00715D11"/>
    <w:rsid w:val="00726783"/>
    <w:rsid w:val="007B2022"/>
    <w:rsid w:val="007D1B2C"/>
    <w:rsid w:val="007D2783"/>
    <w:rsid w:val="00867A91"/>
    <w:rsid w:val="0088300D"/>
    <w:rsid w:val="008C4EBB"/>
    <w:rsid w:val="008F0164"/>
    <w:rsid w:val="00954569"/>
    <w:rsid w:val="009C5FC2"/>
    <w:rsid w:val="00A141D8"/>
    <w:rsid w:val="00A57A89"/>
    <w:rsid w:val="00A6789D"/>
    <w:rsid w:val="00A67DF8"/>
    <w:rsid w:val="00A83F3D"/>
    <w:rsid w:val="00AD3752"/>
    <w:rsid w:val="00AE16CD"/>
    <w:rsid w:val="00B0495D"/>
    <w:rsid w:val="00B31508"/>
    <w:rsid w:val="00B37E66"/>
    <w:rsid w:val="00B52BD7"/>
    <w:rsid w:val="00BB2F87"/>
    <w:rsid w:val="00BD3309"/>
    <w:rsid w:val="00C3523C"/>
    <w:rsid w:val="00CA32B2"/>
    <w:rsid w:val="00D014E6"/>
    <w:rsid w:val="00D431C4"/>
    <w:rsid w:val="00D4531A"/>
    <w:rsid w:val="00D60784"/>
    <w:rsid w:val="00D614ED"/>
    <w:rsid w:val="00D84D80"/>
    <w:rsid w:val="00D90DCE"/>
    <w:rsid w:val="00DF0C55"/>
    <w:rsid w:val="00E918E9"/>
    <w:rsid w:val="00EC1EB3"/>
    <w:rsid w:val="00F11ED1"/>
    <w:rsid w:val="00F35230"/>
    <w:rsid w:val="00F56B41"/>
    <w:rsid w:val="00FC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DC694"/>
  <w15:docId w15:val="{0E51E1C8-8563-4DB9-B406-DA60A072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B0495D"/>
    <w:rPr>
      <w:rFonts w:ascii="仿宋_GB2312" w:hAnsi="Calibri"/>
      <w:sz w:val="24"/>
    </w:rPr>
  </w:style>
  <w:style w:type="paragraph" w:styleId="a4">
    <w:name w:val="Plain Text"/>
    <w:basedOn w:val="a"/>
    <w:link w:val="a3"/>
    <w:qFormat/>
    <w:rsid w:val="00B0495D"/>
    <w:pPr>
      <w:spacing w:line="360" w:lineRule="auto"/>
      <w:ind w:firstLineChars="200" w:firstLine="480"/>
    </w:pPr>
    <w:rPr>
      <w:rFonts w:ascii="仿宋_GB2312" w:eastAsiaTheme="minorEastAsia" w:hAnsi="Calibri" w:cstheme="minorBidi"/>
      <w:sz w:val="24"/>
      <w:szCs w:val="22"/>
    </w:rPr>
  </w:style>
  <w:style w:type="character" w:customStyle="1" w:styleId="Char1">
    <w:name w:val="纯文本 Char1"/>
    <w:basedOn w:val="a0"/>
    <w:uiPriority w:val="99"/>
    <w:semiHidden/>
    <w:rsid w:val="00B0495D"/>
    <w:rPr>
      <w:rFonts w:ascii="宋体" w:eastAsia="宋体" w:hAnsi="Courier New" w:cs="Courier New"/>
      <w:szCs w:val="21"/>
    </w:rPr>
  </w:style>
  <w:style w:type="paragraph" w:customStyle="1" w:styleId="1">
    <w:name w:val="纯文本1"/>
    <w:basedOn w:val="a"/>
    <w:rsid w:val="00B0495D"/>
    <w:pPr>
      <w:spacing w:line="360" w:lineRule="auto"/>
      <w:ind w:firstLineChars="200" w:firstLine="480"/>
    </w:pPr>
    <w:rPr>
      <w:rFonts w:ascii="仿宋_GB2312" w:hAnsi="Calibri"/>
      <w:sz w:val="24"/>
      <w:szCs w:val="22"/>
    </w:rPr>
  </w:style>
  <w:style w:type="paragraph" w:styleId="a5">
    <w:name w:val="List Paragraph"/>
    <w:basedOn w:val="a"/>
    <w:uiPriority w:val="34"/>
    <w:qFormat/>
    <w:rsid w:val="00BD3309"/>
    <w:pPr>
      <w:ind w:firstLineChars="200" w:firstLine="420"/>
    </w:pPr>
  </w:style>
  <w:style w:type="paragraph" w:styleId="a6">
    <w:name w:val="header"/>
    <w:basedOn w:val="a"/>
    <w:link w:val="a7"/>
    <w:uiPriority w:val="99"/>
    <w:unhideWhenUsed/>
    <w:rsid w:val="00D614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614ED"/>
    <w:rPr>
      <w:rFonts w:ascii="Times New Roman" w:eastAsia="宋体" w:hAnsi="Times New Roman" w:cs="Times New Roman"/>
      <w:sz w:val="18"/>
      <w:szCs w:val="18"/>
    </w:rPr>
  </w:style>
  <w:style w:type="paragraph" w:styleId="a8">
    <w:name w:val="footer"/>
    <w:basedOn w:val="a"/>
    <w:link w:val="a9"/>
    <w:uiPriority w:val="99"/>
    <w:unhideWhenUsed/>
    <w:rsid w:val="00D614ED"/>
    <w:pPr>
      <w:tabs>
        <w:tab w:val="center" w:pos="4153"/>
        <w:tab w:val="right" w:pos="8306"/>
      </w:tabs>
      <w:snapToGrid w:val="0"/>
      <w:jc w:val="left"/>
    </w:pPr>
    <w:rPr>
      <w:sz w:val="18"/>
      <w:szCs w:val="18"/>
    </w:rPr>
  </w:style>
  <w:style w:type="character" w:customStyle="1" w:styleId="a9">
    <w:name w:val="页脚 字符"/>
    <w:basedOn w:val="a0"/>
    <w:link w:val="a8"/>
    <w:uiPriority w:val="99"/>
    <w:rsid w:val="00D614ED"/>
    <w:rPr>
      <w:rFonts w:ascii="Times New Roman" w:eastAsia="宋体" w:hAnsi="Times New Roman" w:cs="Times New Roman"/>
      <w:sz w:val="18"/>
      <w:szCs w:val="18"/>
    </w:rPr>
  </w:style>
  <w:style w:type="paragraph" w:styleId="aa">
    <w:name w:val="annotation text"/>
    <w:basedOn w:val="a"/>
    <w:link w:val="ab"/>
    <w:rsid w:val="002F086C"/>
    <w:pPr>
      <w:jc w:val="left"/>
    </w:pPr>
  </w:style>
  <w:style w:type="character" w:customStyle="1" w:styleId="ab">
    <w:name w:val="批注文字 字符"/>
    <w:basedOn w:val="a0"/>
    <w:link w:val="aa"/>
    <w:rsid w:val="002F086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36</cp:revision>
  <dcterms:created xsi:type="dcterms:W3CDTF">2019-05-14T08:16:00Z</dcterms:created>
  <dcterms:modified xsi:type="dcterms:W3CDTF">2019-05-15T01:45:00Z</dcterms:modified>
</cp:coreProperties>
</file>